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4C46E" w14:textId="3EB5598F" w:rsidR="00523CDB" w:rsidRDefault="00523CDB" w:rsidP="00523CDB">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EF413A">
        <w:rPr>
          <w:rFonts w:eastAsia="Times New Roman" w:hint="eastAsia"/>
          <w:b/>
          <w:bCs/>
          <w:sz w:val="24"/>
          <w:szCs w:val="24"/>
          <w:lang w:eastAsia="ja-JP"/>
        </w:rPr>
        <w:t>R</w:t>
      </w:r>
      <w:r w:rsidRPr="00EF413A">
        <w:rPr>
          <w:rFonts w:eastAsia="Times New Roman"/>
          <w:b/>
          <w:bCs/>
          <w:sz w:val="24"/>
          <w:szCs w:val="24"/>
          <w:lang w:eastAsia="ja-JP"/>
        </w:rPr>
        <w:t>2</w:t>
      </w:r>
      <w:r w:rsidRPr="00EF413A">
        <w:rPr>
          <w:rFonts w:eastAsia="Times New Roman" w:hint="eastAsia"/>
          <w:b/>
          <w:bCs/>
          <w:sz w:val="24"/>
          <w:szCs w:val="24"/>
          <w:lang w:eastAsia="ja-JP"/>
        </w:rPr>
        <w:t>-</w:t>
      </w:r>
      <w:r w:rsidRPr="00EF413A">
        <w:rPr>
          <w:rFonts w:eastAsia="Times New Roman"/>
          <w:b/>
          <w:bCs/>
          <w:sz w:val="24"/>
          <w:szCs w:val="24"/>
          <w:lang w:eastAsia="ja-JP"/>
        </w:rPr>
        <w:t>230</w:t>
      </w:r>
      <w:r w:rsidR="006C3FCE" w:rsidRPr="00EF413A">
        <w:rPr>
          <w:rFonts w:eastAsia="Times New Roman"/>
          <w:b/>
          <w:bCs/>
          <w:sz w:val="24"/>
          <w:szCs w:val="24"/>
          <w:lang w:eastAsia="ja-JP"/>
        </w:rPr>
        <w:t>5757</w:t>
      </w:r>
    </w:p>
    <w:p w14:paraId="0D9082AF" w14:textId="77777777" w:rsidR="00523CDB" w:rsidRPr="001C568A" w:rsidRDefault="00523CDB" w:rsidP="00523CDB">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p w14:paraId="439F2966" w14:textId="35FE3DCD" w:rsidR="00411425" w:rsidRPr="00465587" w:rsidRDefault="00411425" w:rsidP="00411425">
      <w:pPr>
        <w:pStyle w:val="Header"/>
        <w:tabs>
          <w:tab w:val="right" w:pos="9639"/>
        </w:tabs>
        <w:rPr>
          <w:bCs/>
          <w:sz w:val="24"/>
          <w:szCs w:val="24"/>
          <w:lang w:eastAsia="zh-CN"/>
        </w:rPr>
      </w:pPr>
    </w:p>
    <w:p w14:paraId="543C3081" w14:textId="77777777" w:rsidR="00411425" w:rsidRPr="00B266B0" w:rsidRDefault="00411425" w:rsidP="00411425">
      <w:pPr>
        <w:pStyle w:val="Header"/>
        <w:rPr>
          <w:bCs/>
          <w:noProof w:val="0"/>
          <w:sz w:val="24"/>
        </w:rPr>
      </w:pPr>
    </w:p>
    <w:p w14:paraId="241DB5DB" w14:textId="77777777" w:rsidR="00411425" w:rsidRPr="00B266B0" w:rsidRDefault="00411425" w:rsidP="0041142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7.14.4</w:t>
      </w:r>
    </w:p>
    <w:p w14:paraId="22D6691A" w14:textId="77777777" w:rsidR="00411425" w:rsidRPr="00B266B0" w:rsidRDefault="00411425" w:rsidP="0041142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68ADC6B" w14:textId="4E35D03D" w:rsidR="00411425" w:rsidRDefault="00411425" w:rsidP="004114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2181">
        <w:rPr>
          <w:rFonts w:ascii="Arial" w:hAnsi="Arial" w:cs="Arial"/>
          <w:b/>
          <w:bCs/>
          <w:sz w:val="24"/>
        </w:rPr>
        <w:t xml:space="preserve">Detailed handling of </w:t>
      </w:r>
      <w:proofErr w:type="spellStart"/>
      <w:r>
        <w:rPr>
          <w:rFonts w:ascii="Arial" w:hAnsi="Arial" w:cs="Arial"/>
          <w:b/>
          <w:bCs/>
          <w:sz w:val="24"/>
        </w:rPr>
        <w:t>QoE</w:t>
      </w:r>
      <w:proofErr w:type="spellEnd"/>
      <w:r>
        <w:rPr>
          <w:rFonts w:ascii="Arial" w:hAnsi="Arial" w:cs="Arial"/>
          <w:b/>
          <w:bCs/>
          <w:sz w:val="24"/>
        </w:rPr>
        <w:t xml:space="preserve"> configuration and reporting in NR-DC</w:t>
      </w:r>
    </w:p>
    <w:p w14:paraId="6836C3C5" w14:textId="77777777" w:rsidR="00411425" w:rsidRPr="00B266B0" w:rsidRDefault="00411425" w:rsidP="004114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80140AC" w14:textId="77777777" w:rsidR="00411425" w:rsidRPr="00B266B0" w:rsidRDefault="00411425" w:rsidP="004114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31AD3BD" w14:textId="77777777" w:rsidR="00411425" w:rsidRPr="006E13D1" w:rsidRDefault="00411425" w:rsidP="00411425">
      <w:pPr>
        <w:pStyle w:val="Heading1"/>
      </w:pPr>
      <w:r w:rsidRPr="006E13D1">
        <w:t>1</w:t>
      </w:r>
      <w:r w:rsidRPr="006E13D1">
        <w:tab/>
      </w:r>
      <w:r>
        <w:t>Introduction</w:t>
      </w:r>
    </w:p>
    <w:p w14:paraId="24E24A50" w14:textId="1171F7E1" w:rsidR="00411425" w:rsidRPr="00EB5A8C" w:rsidRDefault="00411425" w:rsidP="00411425">
      <w:r>
        <w:t xml:space="preserve">To support </w:t>
      </w:r>
      <w:proofErr w:type="spellStart"/>
      <w:r>
        <w:t>QoE</w:t>
      </w:r>
      <w:proofErr w:type="spellEnd"/>
      <w:r>
        <w:t xml:space="preserve"> in NR-DC, RAN2</w:t>
      </w:r>
      <w:r w:rsidR="002E2181">
        <w:t xml:space="preserve"> has progressed </w:t>
      </w:r>
      <w:r w:rsidR="002F411F">
        <w:t>the function</w:t>
      </w:r>
      <w:r w:rsidR="003E6868">
        <w:t xml:space="preserve"> </w:t>
      </w:r>
      <w:r w:rsidR="002E2181">
        <w:t xml:space="preserve">with running CRs reflecting agreed principles in </w:t>
      </w:r>
      <w:hyperlink r:id="rId7" w:history="1">
        <w:r w:rsidR="002E2181" w:rsidRPr="00B6010C">
          <w:rPr>
            <w:rStyle w:val="Hyperlink"/>
          </w:rPr>
          <w:t>R2-2302310</w:t>
        </w:r>
      </w:hyperlink>
      <w:r w:rsidR="002E2181">
        <w:t xml:space="preserve"> (38.331).</w:t>
      </w:r>
    </w:p>
    <w:p w14:paraId="5C4A4E04" w14:textId="592270D4" w:rsidR="00411425" w:rsidRDefault="00411425" w:rsidP="00411425">
      <w:r>
        <w:t xml:space="preserve">This contribution continues discussion on detailed configuration and reporting principles to support </w:t>
      </w:r>
      <w:proofErr w:type="spellStart"/>
      <w:r>
        <w:t>QoE</w:t>
      </w:r>
      <w:proofErr w:type="spellEnd"/>
      <w:r>
        <w:t xml:space="preserve"> Measurements Collection in DC.</w:t>
      </w:r>
    </w:p>
    <w:p w14:paraId="299FCD14" w14:textId="77777777" w:rsidR="00411425" w:rsidRPr="006E13D1" w:rsidRDefault="00411425" w:rsidP="00411425">
      <w:pPr>
        <w:pStyle w:val="Heading1"/>
      </w:pPr>
      <w:r w:rsidRPr="006E13D1">
        <w:t>2</w:t>
      </w:r>
      <w:r w:rsidRPr="006E13D1">
        <w:tab/>
      </w:r>
      <w:r>
        <w:t>Discussion</w:t>
      </w:r>
    </w:p>
    <w:p w14:paraId="728B3D59" w14:textId="4CCCF31C" w:rsidR="00411425" w:rsidRDefault="00411425" w:rsidP="00411425">
      <w:pPr>
        <w:pStyle w:val="Heading2"/>
      </w:pPr>
      <w:r>
        <w:t>2</w:t>
      </w:r>
      <w:r w:rsidRPr="006E13D1">
        <w:t>.1</w:t>
      </w:r>
      <w:r w:rsidRPr="006E13D1">
        <w:tab/>
      </w:r>
      <w:proofErr w:type="spellStart"/>
      <w:r>
        <w:t>QoE</w:t>
      </w:r>
      <w:proofErr w:type="spellEnd"/>
      <w:r>
        <w:t xml:space="preserve"> measurement configuration</w:t>
      </w:r>
    </w:p>
    <w:p w14:paraId="2BF102B2" w14:textId="0CBE595B" w:rsidR="00E24AF3" w:rsidRDefault="00411425" w:rsidP="003F1047">
      <w:pPr>
        <w:contextualSpacing/>
      </w:pPr>
      <w:r>
        <w:t xml:space="preserve">Within the developed framework for DC, RAN3 considered use case for </w:t>
      </w:r>
      <w:r w:rsidRPr="003F1047">
        <w:rPr>
          <w:b/>
          <w:bCs/>
        </w:rPr>
        <w:t>SN-triggered</w:t>
      </w:r>
      <w:r>
        <w:t xml:space="preserve"> configuration has been limited to </w:t>
      </w:r>
      <w:r w:rsidRPr="00700A33">
        <w:rPr>
          <w:b/>
          <w:bCs/>
        </w:rPr>
        <w:t xml:space="preserve">Management-based </w:t>
      </w:r>
      <w:proofErr w:type="spellStart"/>
      <w:r w:rsidRPr="00700A33">
        <w:rPr>
          <w:b/>
          <w:bCs/>
        </w:rPr>
        <w:t>QoE</w:t>
      </w:r>
      <w:proofErr w:type="spellEnd"/>
      <w:r>
        <w:t xml:space="preserve"> and </w:t>
      </w:r>
      <w:r w:rsidR="003F1047">
        <w:t>further</w:t>
      </w:r>
      <w:r>
        <w:t xml:space="preserve"> investigate</w:t>
      </w:r>
      <w:r w:rsidR="003F1047">
        <w:t>d</w:t>
      </w:r>
      <w:r>
        <w:t xml:space="preserve"> the coordination between MN and SN to select the UE.  The MN and SN coordination </w:t>
      </w:r>
      <w:r w:rsidR="00E24AF3">
        <w:t xml:space="preserve">will ensure RRC IDs for </w:t>
      </w:r>
      <w:proofErr w:type="spellStart"/>
      <w:r w:rsidR="00E24AF3" w:rsidRPr="008D647F">
        <w:t>QoE</w:t>
      </w:r>
      <w:proofErr w:type="spellEnd"/>
      <w:r w:rsidR="00E24AF3" w:rsidRPr="008D647F">
        <w:t xml:space="preserve"> configuration (i.e., </w:t>
      </w:r>
      <w:proofErr w:type="spellStart"/>
      <w:r w:rsidR="00E24AF3" w:rsidRPr="008D647F">
        <w:rPr>
          <w:i/>
          <w:iCs/>
        </w:rPr>
        <w:t>measConfigAppLayerId</w:t>
      </w:r>
      <w:proofErr w:type="spellEnd"/>
      <w:r w:rsidR="00E24AF3" w:rsidRPr="009A67F4">
        <w:t>)</w:t>
      </w:r>
      <w:r w:rsidR="00E24AF3">
        <w:t>. One of the agreed principles by RAN3 is that:</w:t>
      </w:r>
    </w:p>
    <w:p w14:paraId="717B3D65" w14:textId="3534BA33" w:rsidR="00E24AF3" w:rsidRPr="003F1047" w:rsidRDefault="00E24AF3" w:rsidP="00E24AF3">
      <w:pPr>
        <w:ind w:left="720"/>
        <w:rPr>
          <w:i/>
          <w:iCs/>
          <w:noProof/>
        </w:rPr>
      </w:pPr>
      <w:r w:rsidRPr="003F1047">
        <w:rPr>
          <w:i/>
          <w:iCs/>
          <w:noProof/>
        </w:rPr>
        <w:t>The MN is responsible for RRC ID allocation for m-based sessions configured by the MN or SN, and notifies the allocated RRC ID(s) to the SN.</w:t>
      </w:r>
    </w:p>
    <w:p w14:paraId="74A866F3" w14:textId="77777777" w:rsidR="003F1047" w:rsidRPr="003F1047" w:rsidRDefault="003F1047" w:rsidP="003F1047">
      <w:pPr>
        <w:ind w:left="720"/>
        <w:rPr>
          <w:i/>
          <w:iCs/>
        </w:rPr>
      </w:pPr>
      <w:r w:rsidRPr="003F1047">
        <w:rPr>
          <w:i/>
          <w:iCs/>
          <w:noProof/>
        </w:rPr>
        <w:t>When the MN approves that the SN configures the UE with a certain m-based QoE configuration, the MN assigns an RRC ID for this m-based QoE configuration and indicates it to the SN.</w:t>
      </w:r>
    </w:p>
    <w:p w14:paraId="32B8AABF" w14:textId="37EE3078" w:rsidR="00E24AF3" w:rsidRPr="00F46E2A" w:rsidRDefault="003F1047" w:rsidP="00411425">
      <w:pPr>
        <w:jc w:val="both"/>
        <w:rPr>
          <w:b/>
          <w:bCs/>
        </w:rPr>
      </w:pPr>
      <w:r w:rsidRPr="00F46E2A">
        <w:rPr>
          <w:b/>
          <w:bCs/>
        </w:rPr>
        <w:t xml:space="preserve">Observation 1: MN is responsible for RRC IDs allocation for SN for Management based </w:t>
      </w:r>
      <w:proofErr w:type="spellStart"/>
      <w:r w:rsidRPr="00F46E2A">
        <w:rPr>
          <w:b/>
          <w:bCs/>
        </w:rPr>
        <w:t>QoE</w:t>
      </w:r>
      <w:proofErr w:type="spellEnd"/>
      <w:r w:rsidRPr="00F46E2A">
        <w:rPr>
          <w:b/>
          <w:bCs/>
        </w:rPr>
        <w:t>.</w:t>
      </w:r>
    </w:p>
    <w:p w14:paraId="32EE1DD6" w14:textId="043FB745" w:rsidR="00700A33" w:rsidRDefault="00700A33" w:rsidP="003F1047">
      <w:pPr>
        <w:pStyle w:val="TAL"/>
        <w:jc w:val="both"/>
        <w:rPr>
          <w:rFonts w:ascii="Times New Roman" w:hAnsi="Times New Roman"/>
          <w:sz w:val="20"/>
        </w:rPr>
      </w:pPr>
      <w:r>
        <w:rPr>
          <w:rFonts w:ascii="Times New Roman" w:hAnsi="Times New Roman"/>
          <w:sz w:val="20"/>
        </w:rPr>
        <w:t xml:space="preserve">For the Signalling based </w:t>
      </w:r>
      <w:proofErr w:type="spellStart"/>
      <w:r>
        <w:rPr>
          <w:rFonts w:ascii="Times New Roman" w:hAnsi="Times New Roman"/>
          <w:sz w:val="20"/>
        </w:rPr>
        <w:t>QoE</w:t>
      </w:r>
      <w:proofErr w:type="spellEnd"/>
      <w:r>
        <w:rPr>
          <w:rFonts w:ascii="Times New Roman" w:hAnsi="Times New Roman"/>
          <w:sz w:val="20"/>
        </w:rPr>
        <w:t>, the assumption is that the specific UE is target from the Core Network</w:t>
      </w:r>
      <w:r w:rsidR="00B63FB0">
        <w:rPr>
          <w:rFonts w:ascii="Times New Roman" w:hAnsi="Times New Roman"/>
          <w:sz w:val="20"/>
        </w:rPr>
        <w:t xml:space="preserve"> and </w:t>
      </w:r>
      <w:r w:rsidR="003B6C08">
        <w:rPr>
          <w:rFonts w:ascii="Times New Roman" w:hAnsi="Times New Roman"/>
          <w:sz w:val="20"/>
        </w:rPr>
        <w:t xml:space="preserve">MN is responsible to configure the </w:t>
      </w:r>
      <w:proofErr w:type="spellStart"/>
      <w:r w:rsidR="003B6C08">
        <w:rPr>
          <w:rFonts w:ascii="Times New Roman" w:hAnsi="Times New Roman"/>
          <w:sz w:val="20"/>
        </w:rPr>
        <w:t>QoE</w:t>
      </w:r>
      <w:proofErr w:type="spellEnd"/>
      <w:r w:rsidR="003B6C08">
        <w:rPr>
          <w:rFonts w:ascii="Times New Roman" w:hAnsi="Times New Roman"/>
          <w:sz w:val="20"/>
        </w:rPr>
        <w:t xml:space="preserve"> to UE</w:t>
      </w:r>
      <w:r>
        <w:rPr>
          <w:rFonts w:ascii="Times New Roman" w:hAnsi="Times New Roman"/>
          <w:sz w:val="20"/>
        </w:rPr>
        <w:t xml:space="preserve">, therefore, there should be no conflicting RRC IDs received by the UE. </w:t>
      </w:r>
    </w:p>
    <w:p w14:paraId="7B523CC6" w14:textId="55F70E1E" w:rsidR="00EE2378" w:rsidRDefault="00EE2378" w:rsidP="003F1047">
      <w:pPr>
        <w:pStyle w:val="TAL"/>
        <w:jc w:val="both"/>
        <w:rPr>
          <w:rFonts w:ascii="Times New Roman" w:hAnsi="Times New Roman"/>
          <w:sz w:val="20"/>
        </w:rPr>
      </w:pPr>
    </w:p>
    <w:p w14:paraId="01E5745C" w14:textId="137CCAD4" w:rsidR="00EE2378" w:rsidRPr="00F46E2A" w:rsidRDefault="00EE2378" w:rsidP="003F1047">
      <w:pPr>
        <w:pStyle w:val="TAL"/>
        <w:jc w:val="both"/>
        <w:rPr>
          <w:rFonts w:ascii="Times New Roman" w:hAnsi="Times New Roman"/>
          <w:b/>
          <w:bCs/>
          <w:sz w:val="20"/>
        </w:rPr>
      </w:pPr>
      <w:r w:rsidRPr="00F46E2A">
        <w:rPr>
          <w:rFonts w:ascii="Times New Roman" w:hAnsi="Times New Roman"/>
          <w:b/>
          <w:bCs/>
          <w:sz w:val="20"/>
        </w:rPr>
        <w:t xml:space="preserve">Observation 2: </w:t>
      </w:r>
      <w:r w:rsidR="006F25D2">
        <w:rPr>
          <w:rFonts w:ascii="Times New Roman" w:hAnsi="Times New Roman"/>
          <w:b/>
          <w:bCs/>
          <w:sz w:val="20"/>
        </w:rPr>
        <w:t xml:space="preserve">Network coordination </w:t>
      </w:r>
      <w:r w:rsidR="00A24015">
        <w:rPr>
          <w:rFonts w:ascii="Times New Roman" w:hAnsi="Times New Roman"/>
          <w:b/>
          <w:bCs/>
          <w:sz w:val="20"/>
        </w:rPr>
        <w:t xml:space="preserve"> ensures </w:t>
      </w:r>
      <w:r w:rsidR="002A501B">
        <w:rPr>
          <w:rFonts w:ascii="Times New Roman" w:hAnsi="Times New Roman"/>
          <w:b/>
          <w:bCs/>
          <w:sz w:val="20"/>
        </w:rPr>
        <w:t xml:space="preserve">there is </w:t>
      </w:r>
      <w:r w:rsidR="00744176" w:rsidRPr="00F46E2A">
        <w:rPr>
          <w:rFonts w:ascii="Times New Roman" w:hAnsi="Times New Roman"/>
          <w:b/>
          <w:bCs/>
          <w:sz w:val="20"/>
        </w:rPr>
        <w:t>n</w:t>
      </w:r>
      <w:r w:rsidRPr="00F46E2A">
        <w:rPr>
          <w:rFonts w:ascii="Times New Roman" w:hAnsi="Times New Roman"/>
          <w:b/>
          <w:bCs/>
          <w:sz w:val="20"/>
        </w:rPr>
        <w:t xml:space="preserve">o </w:t>
      </w:r>
      <w:r w:rsidR="002A501B">
        <w:rPr>
          <w:rFonts w:ascii="Times New Roman" w:hAnsi="Times New Roman"/>
          <w:b/>
          <w:bCs/>
          <w:sz w:val="20"/>
        </w:rPr>
        <w:t xml:space="preserve">conflicting </w:t>
      </w:r>
      <w:r w:rsidRPr="00F46E2A">
        <w:rPr>
          <w:rFonts w:ascii="Times New Roman" w:hAnsi="Times New Roman"/>
          <w:b/>
          <w:bCs/>
          <w:sz w:val="20"/>
        </w:rPr>
        <w:t xml:space="preserve"> RRC IDs re</w:t>
      </w:r>
      <w:r w:rsidR="002A501B">
        <w:rPr>
          <w:rFonts w:ascii="Times New Roman" w:hAnsi="Times New Roman"/>
          <w:b/>
          <w:bCs/>
          <w:sz w:val="20"/>
        </w:rPr>
        <w:t>ceived by the UE in DC</w:t>
      </w:r>
      <w:r w:rsidR="007B428F" w:rsidRPr="00F46E2A">
        <w:rPr>
          <w:rFonts w:ascii="Times New Roman" w:hAnsi="Times New Roman"/>
          <w:b/>
          <w:bCs/>
          <w:sz w:val="20"/>
        </w:rPr>
        <w:t>.</w:t>
      </w:r>
    </w:p>
    <w:p w14:paraId="171426F7" w14:textId="77777777" w:rsidR="00700A33" w:rsidRDefault="00700A33" w:rsidP="003F1047">
      <w:pPr>
        <w:pStyle w:val="TAL"/>
        <w:jc w:val="both"/>
        <w:rPr>
          <w:rFonts w:ascii="Times New Roman" w:hAnsi="Times New Roman"/>
          <w:sz w:val="20"/>
        </w:rPr>
      </w:pPr>
    </w:p>
    <w:p w14:paraId="5B7940E6" w14:textId="3CC70CFA" w:rsidR="00EE2378" w:rsidRDefault="00D314A8" w:rsidP="00EE2378">
      <w:pPr>
        <w:pStyle w:val="TAL"/>
        <w:jc w:val="both"/>
        <w:rPr>
          <w:rFonts w:ascii="Times New Roman" w:hAnsi="Times New Roman"/>
          <w:sz w:val="20"/>
        </w:rPr>
      </w:pPr>
      <w:r>
        <w:rPr>
          <w:rFonts w:ascii="Times New Roman" w:hAnsi="Times New Roman"/>
          <w:sz w:val="20"/>
        </w:rPr>
        <w:t xml:space="preserve">The coordination between MN and SN is limited to Management based </w:t>
      </w:r>
      <w:proofErr w:type="spellStart"/>
      <w:r>
        <w:rPr>
          <w:rFonts w:ascii="Times New Roman" w:hAnsi="Times New Roman"/>
          <w:sz w:val="20"/>
        </w:rPr>
        <w:t>QoE</w:t>
      </w:r>
      <w:proofErr w:type="spellEnd"/>
      <w:r>
        <w:rPr>
          <w:rFonts w:ascii="Times New Roman" w:hAnsi="Times New Roman"/>
          <w:sz w:val="20"/>
        </w:rPr>
        <w:t xml:space="preserve">, and the split of RRC IDs could be realised by inter-node messages. No impact to RRC IDs handling over </w:t>
      </w:r>
      <w:proofErr w:type="spellStart"/>
      <w:r>
        <w:rPr>
          <w:rFonts w:ascii="Times New Roman" w:hAnsi="Times New Roman"/>
          <w:sz w:val="20"/>
        </w:rPr>
        <w:t>Uu</w:t>
      </w:r>
      <w:proofErr w:type="spellEnd"/>
      <w:r>
        <w:rPr>
          <w:rFonts w:ascii="Times New Roman" w:hAnsi="Times New Roman"/>
          <w:sz w:val="20"/>
        </w:rPr>
        <w:t xml:space="preserve"> could be adopted. </w:t>
      </w:r>
    </w:p>
    <w:p w14:paraId="0E9874DD" w14:textId="09C7ECB3" w:rsidR="00EB5A8C" w:rsidRDefault="00EB5A8C" w:rsidP="00EE2378">
      <w:pPr>
        <w:pStyle w:val="TAL"/>
        <w:jc w:val="both"/>
        <w:rPr>
          <w:rFonts w:ascii="Times New Roman" w:hAnsi="Times New Roman"/>
          <w:sz w:val="20"/>
        </w:rPr>
      </w:pPr>
    </w:p>
    <w:p w14:paraId="55D03B29" w14:textId="579C3711" w:rsidR="00EB5A8C" w:rsidRDefault="00EB5A8C" w:rsidP="00EE2378">
      <w:pPr>
        <w:pStyle w:val="TAL"/>
        <w:jc w:val="both"/>
        <w:rPr>
          <w:rFonts w:ascii="Times New Roman" w:hAnsi="Times New Roman"/>
          <w:sz w:val="20"/>
        </w:rPr>
      </w:pPr>
      <w:r>
        <w:rPr>
          <w:rFonts w:ascii="Times New Roman" w:hAnsi="Times New Roman"/>
          <w:sz w:val="20"/>
        </w:rPr>
        <w:t xml:space="preserve">That would give the flexibility to configure the UE with any RRC ID range by MN or SN, which is already assumed by the RAN3 agreement, that ensures the configuration is unique on </w:t>
      </w:r>
      <w:proofErr w:type="spellStart"/>
      <w:r>
        <w:rPr>
          <w:rFonts w:ascii="Times New Roman" w:hAnsi="Times New Roman"/>
          <w:sz w:val="20"/>
        </w:rPr>
        <w:t>QoE</w:t>
      </w:r>
      <w:proofErr w:type="spellEnd"/>
      <w:r>
        <w:rPr>
          <w:rFonts w:ascii="Times New Roman" w:hAnsi="Times New Roman"/>
          <w:sz w:val="20"/>
        </w:rPr>
        <w:t xml:space="preserve"> reference basis:</w:t>
      </w:r>
    </w:p>
    <w:p w14:paraId="30736D58" w14:textId="573697A5" w:rsidR="00EB5A8C" w:rsidRDefault="00EB5A8C" w:rsidP="00EE2378">
      <w:pPr>
        <w:pStyle w:val="TAL"/>
        <w:jc w:val="both"/>
        <w:rPr>
          <w:rFonts w:ascii="Times New Roman" w:hAnsi="Times New Roman"/>
          <w:sz w:val="20"/>
        </w:rPr>
      </w:pPr>
    </w:p>
    <w:p w14:paraId="7C1BCEE0" w14:textId="77777777" w:rsidR="00EB5A8C" w:rsidRPr="00EB5A8C" w:rsidRDefault="00EB5A8C" w:rsidP="00EB5A8C">
      <w:pPr>
        <w:ind w:left="720"/>
        <w:rPr>
          <w:i/>
          <w:iCs/>
          <w:noProof/>
        </w:rPr>
      </w:pPr>
      <w:r w:rsidRPr="00EB5A8C">
        <w:rPr>
          <w:i/>
          <w:iCs/>
          <w:noProof/>
        </w:rPr>
        <w:t>The MN and the SN coordinate the RRC ID allocation for m-based QoE measurements to be configured at a UE, on a per-QoE reference basis.</w:t>
      </w:r>
    </w:p>
    <w:p w14:paraId="22FD20DF" w14:textId="39FE3801" w:rsidR="003276F8" w:rsidRDefault="003276F8" w:rsidP="003276F8">
      <w:pPr>
        <w:jc w:val="both"/>
        <w:rPr>
          <w:b/>
          <w:bCs/>
        </w:rPr>
      </w:pPr>
      <w:r w:rsidRPr="00D314A8">
        <w:rPr>
          <w:b/>
          <w:bCs/>
        </w:rPr>
        <w:t xml:space="preserve">Proposal 1: </w:t>
      </w:r>
      <w:r>
        <w:rPr>
          <w:b/>
          <w:bCs/>
        </w:rPr>
        <w:t>There is no need</w:t>
      </w:r>
      <w:r w:rsidRPr="00D314A8">
        <w:rPr>
          <w:b/>
          <w:bCs/>
        </w:rPr>
        <w:t xml:space="preserve"> </w:t>
      </w:r>
      <w:r w:rsidR="00FB1E57">
        <w:rPr>
          <w:b/>
          <w:bCs/>
        </w:rPr>
        <w:t xml:space="preserve">for a dedicated </w:t>
      </w:r>
      <w:r w:rsidRPr="00D314A8">
        <w:rPr>
          <w:b/>
          <w:bCs/>
        </w:rPr>
        <w:t xml:space="preserve">RRC IDs for MN or SN over </w:t>
      </w:r>
      <w:proofErr w:type="spellStart"/>
      <w:r w:rsidRPr="00D314A8">
        <w:rPr>
          <w:b/>
          <w:bCs/>
        </w:rPr>
        <w:t>Uu</w:t>
      </w:r>
      <w:proofErr w:type="spellEnd"/>
      <w:r w:rsidR="00FB1E57">
        <w:rPr>
          <w:b/>
          <w:bCs/>
        </w:rPr>
        <w:t>.</w:t>
      </w:r>
    </w:p>
    <w:p w14:paraId="58C495FC" w14:textId="09877080" w:rsidR="003E48F9" w:rsidRDefault="003E48F9" w:rsidP="003276F8">
      <w:pPr>
        <w:jc w:val="both"/>
        <w:rPr>
          <w:b/>
          <w:bCs/>
        </w:rPr>
      </w:pPr>
      <w:r w:rsidRPr="00D314A8">
        <w:rPr>
          <w:b/>
          <w:bCs/>
        </w:rPr>
        <w:t xml:space="preserve">Proposal </w:t>
      </w:r>
      <w:r>
        <w:rPr>
          <w:b/>
          <w:bCs/>
        </w:rPr>
        <w:t>2</w:t>
      </w:r>
      <w:r w:rsidRPr="00D314A8">
        <w:rPr>
          <w:b/>
          <w:bCs/>
        </w:rPr>
        <w:t xml:space="preserve">: </w:t>
      </w:r>
      <w:r>
        <w:rPr>
          <w:b/>
          <w:bCs/>
        </w:rPr>
        <w:t xml:space="preserve">The existing </w:t>
      </w:r>
      <w:proofErr w:type="spellStart"/>
      <w:r w:rsidR="005A0AC8">
        <w:rPr>
          <w:b/>
          <w:bCs/>
        </w:rPr>
        <w:t>measConfigAppLayerI</w:t>
      </w:r>
      <w:r w:rsidR="00AB385A">
        <w:rPr>
          <w:b/>
          <w:bCs/>
        </w:rPr>
        <w:t>d</w:t>
      </w:r>
      <w:proofErr w:type="spellEnd"/>
      <w:r w:rsidR="00AB385A">
        <w:rPr>
          <w:b/>
          <w:bCs/>
        </w:rPr>
        <w:t xml:space="preserve"> </w:t>
      </w:r>
      <w:r w:rsidR="00943FDB">
        <w:rPr>
          <w:b/>
          <w:bCs/>
        </w:rPr>
        <w:t xml:space="preserve">can be </w:t>
      </w:r>
      <w:r w:rsidR="00E43E26">
        <w:rPr>
          <w:b/>
          <w:bCs/>
        </w:rPr>
        <w:t>re</w:t>
      </w:r>
      <w:r w:rsidR="00943FDB">
        <w:rPr>
          <w:b/>
          <w:bCs/>
        </w:rPr>
        <w:t xml:space="preserve">used </w:t>
      </w:r>
      <w:r w:rsidR="002A5527">
        <w:rPr>
          <w:b/>
          <w:bCs/>
        </w:rPr>
        <w:t xml:space="preserve">either </w:t>
      </w:r>
      <w:r w:rsidR="00943FDB">
        <w:rPr>
          <w:b/>
          <w:bCs/>
        </w:rPr>
        <w:t>for MN or SN configuration.</w:t>
      </w:r>
    </w:p>
    <w:p w14:paraId="5C6DB699" w14:textId="4256464C" w:rsidR="00411425" w:rsidRDefault="00411425" w:rsidP="00411425">
      <w:pPr>
        <w:jc w:val="both"/>
      </w:pPr>
      <w:r>
        <w:t xml:space="preserve">Currently, the maximum number of simultaneous application layer measurement configurations is equal </w:t>
      </w:r>
      <w:r w:rsidR="00653C74">
        <w:t xml:space="preserve">to </w:t>
      </w:r>
      <w:r>
        <w:t xml:space="preserve">16. In context of DC, it may be worth understanding whether the requirements to schedule simultaneous </w:t>
      </w:r>
      <w:proofErr w:type="spellStart"/>
      <w:r>
        <w:t>QoE</w:t>
      </w:r>
      <w:proofErr w:type="spellEnd"/>
      <w:r>
        <w:t xml:space="preserve"> configurations increase and whether there are potentially new UE constrain</w:t>
      </w:r>
      <w:r w:rsidR="001074F4">
        <w:t>t</w:t>
      </w:r>
      <w:r>
        <w:t xml:space="preserve">s that may result from the need to extend memory requirements. RAN2 has already noted there may be a need to extend the UE minimal memory requirement, though it has been motivated </w:t>
      </w:r>
      <w:r>
        <w:lastRenderedPageBreak/>
        <w:t xml:space="preserve">by the UE support for the new service (MBS) and in additional RRC state (IDLE). The new service and longer involvement in </w:t>
      </w:r>
      <w:proofErr w:type="spellStart"/>
      <w:r>
        <w:t>QoE</w:t>
      </w:r>
      <w:proofErr w:type="spellEnd"/>
      <w:r>
        <w:t xml:space="preserve"> session (while staying in RRC IDLE) may occupy or exceed the reserved UE memory for buffering </w:t>
      </w:r>
      <w:proofErr w:type="spellStart"/>
      <w:r>
        <w:t>QoE</w:t>
      </w:r>
      <w:proofErr w:type="spellEnd"/>
      <w:r>
        <w:t xml:space="preserve"> data. </w:t>
      </w:r>
      <w:r w:rsidR="0EFC8830">
        <w:t>Additionally, the simultaneous configurations for MN and SN require handling of different configuration</w:t>
      </w:r>
      <w:r w:rsidR="663362AD">
        <w:t xml:space="preserve">s (as discussed above), which may be split, while </w:t>
      </w:r>
      <w:r w:rsidR="05DFBC2F">
        <w:t>on the other hand increased</w:t>
      </w:r>
      <w:r w:rsidR="663362AD">
        <w:t xml:space="preserve"> due to Dual Connectivity. </w:t>
      </w:r>
      <w:r>
        <w:t>Therefore, we propose:</w:t>
      </w:r>
    </w:p>
    <w:p w14:paraId="7802EF02" w14:textId="7959C916" w:rsidR="00411425" w:rsidRPr="000C1916" w:rsidRDefault="00411425" w:rsidP="00411425">
      <w:pPr>
        <w:jc w:val="both"/>
        <w:rPr>
          <w:b/>
          <w:bCs/>
        </w:rPr>
      </w:pPr>
      <w:r w:rsidRPr="000C1916">
        <w:rPr>
          <w:b/>
          <w:bCs/>
        </w:rPr>
        <w:t>Proposal 3: RAN2 discuss whether the UE’s maximum number of application layer measurement configurations (i.e., 16) needs extension for DC.</w:t>
      </w:r>
      <w:r w:rsidR="00BF4E80">
        <w:rPr>
          <w:b/>
          <w:bCs/>
        </w:rPr>
        <w:t xml:space="preserve"> </w:t>
      </w:r>
    </w:p>
    <w:p w14:paraId="1E445CD4" w14:textId="77777777" w:rsidR="00411425" w:rsidRDefault="00411425" w:rsidP="00411425">
      <w:pPr>
        <w:pStyle w:val="Heading2"/>
      </w:pPr>
      <w:r>
        <w:t>2</w:t>
      </w:r>
      <w:r w:rsidRPr="006E13D1">
        <w:t>.</w:t>
      </w:r>
      <w:r>
        <w:t>2</w:t>
      </w:r>
      <w:r w:rsidRPr="006E13D1">
        <w:tab/>
      </w:r>
      <w:proofErr w:type="spellStart"/>
      <w:r>
        <w:t>QoE</w:t>
      </w:r>
      <w:proofErr w:type="spellEnd"/>
      <w:r>
        <w:t xml:space="preserve"> measurement reporting</w:t>
      </w:r>
    </w:p>
    <w:p w14:paraId="2D77CBD1" w14:textId="41A0E745" w:rsidR="00442623" w:rsidRDefault="00411425" w:rsidP="003F08A6">
      <w:pPr>
        <w:jc w:val="both"/>
      </w:pPr>
      <w:r>
        <w:rPr>
          <w:lang w:val="en-US"/>
        </w:rPr>
        <w:t xml:space="preserve">RAN2 agreed to use new SRB5 for reporting </w:t>
      </w:r>
      <w:proofErr w:type="spellStart"/>
      <w:r>
        <w:rPr>
          <w:lang w:val="en-US"/>
        </w:rPr>
        <w:t>QoE</w:t>
      </w:r>
      <w:proofErr w:type="spellEnd"/>
      <w:r>
        <w:rPr>
          <w:lang w:val="en-US"/>
        </w:rPr>
        <w:t xml:space="preserve"> to SN.</w:t>
      </w:r>
      <w:r w:rsidR="003E0514">
        <w:rPr>
          <w:lang w:val="en-US"/>
        </w:rPr>
        <w:t xml:space="preserve"> </w:t>
      </w:r>
      <w:r w:rsidR="00442623">
        <w:t xml:space="preserve">For the reporting from the UE, a default behaviour (unless the </w:t>
      </w:r>
      <w:r w:rsidR="003E0514">
        <w:t xml:space="preserve">other </w:t>
      </w:r>
      <w:r w:rsidR="00EB5A8C">
        <w:t xml:space="preserve">reporting SRB or reporting leg </w:t>
      </w:r>
      <w:r w:rsidR="00442623">
        <w:t xml:space="preserve">switch is </w:t>
      </w:r>
      <w:r w:rsidR="00E33A5F">
        <w:t>configured) would</w:t>
      </w:r>
      <w:r w:rsidR="00442623">
        <w:t xml:space="preserve"> be that the </w:t>
      </w:r>
      <w:proofErr w:type="spellStart"/>
      <w:r w:rsidR="00442623">
        <w:t>QoE</w:t>
      </w:r>
      <w:proofErr w:type="spellEnd"/>
      <w:r w:rsidR="00442623">
        <w:t xml:space="preserve"> reports are sent to the configured node. I.e., if the </w:t>
      </w:r>
      <w:proofErr w:type="spellStart"/>
      <w:r w:rsidR="00442623">
        <w:t>QoE</w:t>
      </w:r>
      <w:proofErr w:type="spellEnd"/>
      <w:r w:rsidR="00442623">
        <w:t xml:space="preserve"> configuration is provided over SRB1 (by MN, it implies the UE reports available </w:t>
      </w:r>
      <w:proofErr w:type="spellStart"/>
      <w:r w:rsidR="00442623">
        <w:t>QoE</w:t>
      </w:r>
      <w:proofErr w:type="spellEnd"/>
      <w:r w:rsidR="00442623">
        <w:t xml:space="preserve"> measurements over SRB4 (as in Rel-17). If the </w:t>
      </w:r>
      <w:proofErr w:type="spellStart"/>
      <w:r w:rsidR="00442623">
        <w:t>QoE</w:t>
      </w:r>
      <w:proofErr w:type="spellEnd"/>
      <w:r w:rsidR="00442623">
        <w:t xml:space="preserve"> configuration is provided over SRB3 (by SN), it implies the UE reports available </w:t>
      </w:r>
      <w:proofErr w:type="spellStart"/>
      <w:r w:rsidR="00442623">
        <w:t>QoE</w:t>
      </w:r>
      <w:proofErr w:type="spellEnd"/>
      <w:r w:rsidR="00442623">
        <w:t xml:space="preserve"> measurements over SRB5 (by SN)</w:t>
      </w:r>
    </w:p>
    <w:p w14:paraId="40523994" w14:textId="386933CD" w:rsidR="00442623" w:rsidRDefault="00442623" w:rsidP="003F08A6">
      <w:pPr>
        <w:jc w:val="both"/>
      </w:pPr>
      <w:r w:rsidRPr="261DAD44">
        <w:rPr>
          <w:b/>
          <w:bCs/>
        </w:rPr>
        <w:t xml:space="preserve">Proposal </w:t>
      </w:r>
      <w:r w:rsidR="00234604">
        <w:rPr>
          <w:b/>
          <w:bCs/>
        </w:rPr>
        <w:t>4</w:t>
      </w:r>
      <w:r w:rsidRPr="261DAD44">
        <w:rPr>
          <w:b/>
          <w:bCs/>
        </w:rPr>
        <w:t xml:space="preserve">: </w:t>
      </w:r>
      <w:r>
        <w:rPr>
          <w:b/>
          <w:bCs/>
        </w:rPr>
        <w:t xml:space="preserve">A default </w:t>
      </w:r>
      <w:r w:rsidR="003F08A6">
        <w:rPr>
          <w:b/>
          <w:bCs/>
        </w:rPr>
        <w:t>behaviour</w:t>
      </w:r>
      <w:r>
        <w:rPr>
          <w:b/>
          <w:bCs/>
        </w:rPr>
        <w:t xml:space="preserve"> on </w:t>
      </w:r>
      <w:proofErr w:type="spellStart"/>
      <w:r w:rsidRPr="00442623">
        <w:rPr>
          <w:b/>
          <w:bCs/>
        </w:rPr>
        <w:t>QoE</w:t>
      </w:r>
      <w:proofErr w:type="spellEnd"/>
      <w:r w:rsidRPr="00442623">
        <w:rPr>
          <w:b/>
          <w:bCs/>
        </w:rPr>
        <w:t xml:space="preserve"> reporting </w:t>
      </w:r>
      <w:r w:rsidR="00234604">
        <w:rPr>
          <w:b/>
          <w:bCs/>
        </w:rPr>
        <w:t xml:space="preserve">(unless specified otherwise) </w:t>
      </w:r>
      <w:r w:rsidRPr="00436A30">
        <w:rPr>
          <w:b/>
          <w:bCs/>
        </w:rPr>
        <w:t xml:space="preserve">is that the UE sends </w:t>
      </w:r>
      <w:proofErr w:type="spellStart"/>
      <w:r w:rsidRPr="007F6E21">
        <w:rPr>
          <w:b/>
          <w:bCs/>
        </w:rPr>
        <w:t>QoE</w:t>
      </w:r>
      <w:proofErr w:type="spellEnd"/>
      <w:r w:rsidRPr="007F6E21">
        <w:rPr>
          <w:b/>
          <w:bCs/>
        </w:rPr>
        <w:t xml:space="preserve"> reports to the node that has configured the UE for </w:t>
      </w:r>
      <w:proofErr w:type="spellStart"/>
      <w:r w:rsidRPr="007F6E21">
        <w:rPr>
          <w:b/>
          <w:bCs/>
        </w:rPr>
        <w:t>QoE</w:t>
      </w:r>
      <w:proofErr w:type="spellEnd"/>
      <w:r w:rsidRPr="007F6E21">
        <w:rPr>
          <w:b/>
          <w:bCs/>
        </w:rPr>
        <w:t>.</w:t>
      </w:r>
      <w:r>
        <w:t xml:space="preserve"> </w:t>
      </w:r>
    </w:p>
    <w:p w14:paraId="7EF63BCA" w14:textId="59F21E0D" w:rsidR="003E0514" w:rsidRDefault="003E0514" w:rsidP="69E17BFB">
      <w:pPr>
        <w:jc w:val="both"/>
        <w:rPr>
          <w:lang w:val="en-US"/>
        </w:rPr>
      </w:pPr>
      <w:r>
        <w:t xml:space="preserve">The </w:t>
      </w:r>
      <w:r w:rsidR="003F08A6">
        <w:t>otherwise</w:t>
      </w:r>
      <w:r>
        <w:t xml:space="preserve"> cases refer to </w:t>
      </w:r>
      <w:r w:rsidR="003F08A6">
        <w:t xml:space="preserve">the agreed </w:t>
      </w:r>
      <w:r>
        <w:t xml:space="preserve">scenarios when a default SRB is not </w:t>
      </w:r>
      <w:r w:rsidR="003F08A6">
        <w:t>available</w:t>
      </w:r>
      <w:r w:rsidR="20783B14">
        <w:t xml:space="preserve"> (e.g.,SRB5 for SN)</w:t>
      </w:r>
      <w:r>
        <w:t>, or when there is extra configuration given on reporting</w:t>
      </w:r>
      <w:r w:rsidR="56540049">
        <w:t>. The extra configurations will be implied by the following:</w:t>
      </w:r>
    </w:p>
    <w:p w14:paraId="4760AC0B" w14:textId="26A3F2CD" w:rsidR="003E0514" w:rsidRDefault="003E0514" w:rsidP="003F08A6">
      <w:pPr>
        <w:ind w:left="720"/>
        <w:jc w:val="both"/>
        <w:rPr>
          <w:i/>
          <w:iCs/>
          <w:noProof/>
        </w:rPr>
      </w:pPr>
      <w:r w:rsidRPr="003E0514">
        <w:rPr>
          <w:i/>
          <w:iCs/>
          <w:noProof/>
        </w:rPr>
        <w:t>QoE reports can be transmitted to either MN or SN and the reporting leg (MCG or SCG) can be changed during the application session (RAN3</w:t>
      </w:r>
      <w:r>
        <w:rPr>
          <w:i/>
          <w:iCs/>
          <w:noProof/>
        </w:rPr>
        <w:t xml:space="preserve"> agreement</w:t>
      </w:r>
      <w:r w:rsidRPr="003E0514">
        <w:rPr>
          <w:i/>
          <w:iCs/>
          <w:noProof/>
        </w:rPr>
        <w:t>)</w:t>
      </w:r>
    </w:p>
    <w:p w14:paraId="5BD16AB6" w14:textId="77777777" w:rsidR="00E33A5F" w:rsidRPr="00E33A5F" w:rsidRDefault="00E33A5F" w:rsidP="003F08A6">
      <w:pPr>
        <w:ind w:left="720"/>
        <w:jc w:val="both"/>
        <w:rPr>
          <w:i/>
          <w:iCs/>
        </w:rPr>
      </w:pPr>
      <w:r w:rsidRPr="00E33A5F">
        <w:rPr>
          <w:i/>
          <w:iCs/>
          <w:noProof/>
        </w:rPr>
        <w:t>When SN indicates its interest in configuring m-based QoE a measurement to a UE:</w:t>
      </w:r>
    </w:p>
    <w:p w14:paraId="0BF7C254" w14:textId="77777777" w:rsidR="00E33A5F" w:rsidRPr="00E33A5F" w:rsidRDefault="00E33A5F" w:rsidP="003F08A6">
      <w:pPr>
        <w:pStyle w:val="ListParagraph"/>
        <w:numPr>
          <w:ilvl w:val="1"/>
          <w:numId w:val="16"/>
        </w:numPr>
        <w:jc w:val="both"/>
        <w:rPr>
          <w:i/>
          <w:iCs/>
          <w:noProof/>
        </w:rPr>
      </w:pPr>
      <w:r w:rsidRPr="00E33A5F">
        <w:rPr>
          <w:i/>
          <w:iCs/>
          <w:noProof/>
        </w:rPr>
        <w:t xml:space="preserve">The SN can indicate to the MN that the reports are to be sent via the SRB5. </w:t>
      </w:r>
    </w:p>
    <w:p w14:paraId="3AE6CDCF" w14:textId="6C8E8317" w:rsidR="00E33A5F" w:rsidRPr="00E33A5F" w:rsidRDefault="00E33A5F" w:rsidP="003F08A6">
      <w:pPr>
        <w:pStyle w:val="ListParagraph"/>
        <w:numPr>
          <w:ilvl w:val="1"/>
          <w:numId w:val="16"/>
        </w:numPr>
        <w:jc w:val="both"/>
        <w:rPr>
          <w:i/>
          <w:iCs/>
          <w:noProof/>
        </w:rPr>
      </w:pPr>
      <w:r w:rsidRPr="00E33A5F">
        <w:rPr>
          <w:i/>
          <w:iCs/>
          <w:noProof/>
        </w:rPr>
        <w:t xml:space="preserve">The SN can request the use of the SRB4 for reporting, which the MN can confirm or reject. FFS whether the indication is explicit or implicit. </w:t>
      </w:r>
      <w:r w:rsidRPr="003E0514">
        <w:rPr>
          <w:i/>
          <w:iCs/>
          <w:noProof/>
        </w:rPr>
        <w:t>(RAN3</w:t>
      </w:r>
      <w:r>
        <w:rPr>
          <w:i/>
          <w:iCs/>
          <w:noProof/>
        </w:rPr>
        <w:t xml:space="preserve"> agreement</w:t>
      </w:r>
      <w:r w:rsidRPr="003E0514">
        <w:rPr>
          <w:i/>
          <w:iCs/>
          <w:noProof/>
        </w:rPr>
        <w:t>)</w:t>
      </w:r>
    </w:p>
    <w:p w14:paraId="43724801" w14:textId="29FC55B0" w:rsidR="00E33A5F" w:rsidRDefault="00E33A5F" w:rsidP="003F08A6">
      <w:pPr>
        <w:ind w:left="720"/>
        <w:jc w:val="both"/>
        <w:rPr>
          <w:i/>
          <w:iCs/>
          <w:noProof/>
        </w:rPr>
      </w:pPr>
      <w:r w:rsidRPr="00E33A5F">
        <w:rPr>
          <w:i/>
          <w:iCs/>
          <w:noProof/>
        </w:rPr>
        <w:t xml:space="preserve">The network can explicitly instruct a UE in NR-DC to switch the reporting leg. </w:t>
      </w:r>
      <w:r w:rsidRPr="003E0514">
        <w:rPr>
          <w:i/>
          <w:iCs/>
          <w:noProof/>
        </w:rPr>
        <w:t>(RAN3</w:t>
      </w:r>
      <w:r>
        <w:rPr>
          <w:i/>
          <w:iCs/>
          <w:noProof/>
        </w:rPr>
        <w:t xml:space="preserve"> agreement</w:t>
      </w:r>
      <w:r w:rsidRPr="003E0514">
        <w:rPr>
          <w:i/>
          <w:iCs/>
          <w:noProof/>
        </w:rPr>
        <w:t>)</w:t>
      </w:r>
    </w:p>
    <w:p w14:paraId="74283F59" w14:textId="59BB61EB" w:rsidR="005F3681" w:rsidRPr="005F3681" w:rsidRDefault="005F3681" w:rsidP="005F3681">
      <w:pPr>
        <w:ind w:left="720"/>
        <w:rPr>
          <w:i/>
          <w:iCs/>
        </w:rPr>
      </w:pPr>
      <w:r w:rsidRPr="005F3681">
        <w:rPr>
          <w:i/>
          <w:iCs/>
          <w:noProof/>
        </w:rPr>
        <w:t>If the SRB5 is not configured, the RVQoE reports can be sent on the SRB4 from the UE via the MN to the SN. (RAN3 agreement)</w:t>
      </w:r>
    </w:p>
    <w:p w14:paraId="62B4FEFB" w14:textId="291C4EEF" w:rsidR="003E0514" w:rsidRPr="003E0514" w:rsidRDefault="003E0514" w:rsidP="003F08A6">
      <w:pPr>
        <w:ind w:left="720"/>
        <w:jc w:val="both"/>
        <w:rPr>
          <w:i/>
          <w:iCs/>
          <w:noProof/>
        </w:rPr>
      </w:pPr>
      <w:r w:rsidRPr="003E0514">
        <w:rPr>
          <w:i/>
          <w:iCs/>
          <w:noProof/>
        </w:rPr>
        <w:t>RRC configuration determines to which node UE sends the QoE report.  It is possible to change the reporting leg via RRC signalling after it has been configured (RAN2</w:t>
      </w:r>
      <w:r>
        <w:rPr>
          <w:i/>
          <w:iCs/>
          <w:noProof/>
        </w:rPr>
        <w:t xml:space="preserve"> agreement</w:t>
      </w:r>
      <w:r w:rsidRPr="003E0514">
        <w:rPr>
          <w:i/>
          <w:iCs/>
          <w:noProof/>
        </w:rPr>
        <w:t>)</w:t>
      </w:r>
    </w:p>
    <w:p w14:paraId="54A6CCFB" w14:textId="3BD37BFB" w:rsidR="003E0514" w:rsidRPr="003E0514" w:rsidRDefault="003E0514" w:rsidP="003F08A6">
      <w:pPr>
        <w:ind w:left="720"/>
        <w:jc w:val="both"/>
        <w:rPr>
          <w:i/>
          <w:iCs/>
          <w:noProof/>
        </w:rPr>
      </w:pPr>
      <w:r w:rsidRPr="003E0514">
        <w:rPr>
          <w:i/>
          <w:iCs/>
          <w:noProof/>
        </w:rPr>
        <w:t xml:space="preserve">The network can </w:t>
      </w:r>
      <w:r w:rsidRPr="003E0514">
        <w:rPr>
          <w:i/>
          <w:iCs/>
          <w:noProof/>
          <w:u w:val="single"/>
        </w:rPr>
        <w:t>optionally</w:t>
      </w:r>
      <w:r w:rsidRPr="003E0514">
        <w:rPr>
          <w:i/>
          <w:iCs/>
          <w:noProof/>
        </w:rPr>
        <w:t xml:space="preserve"> explicitly indicate the SRB for the QoE reporting if both SRB4 and SRB5 are configured. FFS on the granularity, e.g. per QoE config or otherwise (RAN2</w:t>
      </w:r>
      <w:r>
        <w:rPr>
          <w:i/>
          <w:iCs/>
          <w:noProof/>
        </w:rPr>
        <w:t xml:space="preserve"> agreement</w:t>
      </w:r>
      <w:r w:rsidRPr="003E0514">
        <w:rPr>
          <w:i/>
          <w:iCs/>
          <w:noProof/>
        </w:rPr>
        <w:t>)</w:t>
      </w:r>
    </w:p>
    <w:p w14:paraId="1E12A54F" w14:textId="552D96BE" w:rsidR="003E0514" w:rsidRPr="003E0514" w:rsidRDefault="003E0514" w:rsidP="003F08A6">
      <w:pPr>
        <w:ind w:left="720"/>
        <w:jc w:val="both"/>
        <w:rPr>
          <w:i/>
          <w:iCs/>
          <w:noProof/>
        </w:rPr>
      </w:pPr>
      <w:r w:rsidRPr="003E0514">
        <w:rPr>
          <w:i/>
          <w:iCs/>
          <w:noProof/>
        </w:rPr>
        <w:t>MN- or SN-associated QoE reports can use either SRB4 or SRB5 if only one of SRB4 or SRB5 is configured for the UE. FFS whether network configuration is needed (RAN2</w:t>
      </w:r>
      <w:r>
        <w:rPr>
          <w:i/>
          <w:iCs/>
          <w:noProof/>
        </w:rPr>
        <w:t xml:space="preserve"> agreement</w:t>
      </w:r>
      <w:r w:rsidRPr="003E0514">
        <w:rPr>
          <w:i/>
          <w:iCs/>
          <w:noProof/>
        </w:rPr>
        <w:t>)</w:t>
      </w:r>
    </w:p>
    <w:p w14:paraId="0512F6D4" w14:textId="33CCFA7E" w:rsidR="00AE347B" w:rsidRDefault="00E33A5F" w:rsidP="007F6E21">
      <w:pPr>
        <w:jc w:val="both"/>
        <w:rPr>
          <w:lang w:val="en-US"/>
        </w:rPr>
      </w:pPr>
      <w:r>
        <w:t>Fo</w:t>
      </w:r>
      <w:r w:rsidR="003F08A6">
        <w:t xml:space="preserve">r </w:t>
      </w:r>
      <w:r>
        <w:t xml:space="preserve">the </w:t>
      </w:r>
      <w:proofErr w:type="spellStart"/>
      <w:r>
        <w:t>QoE</w:t>
      </w:r>
      <w:proofErr w:type="spellEnd"/>
      <w:r>
        <w:t xml:space="preserve"> reporting leg, RAN3 agreed that </w:t>
      </w:r>
      <w:r w:rsidR="00AE347B">
        <w:t xml:space="preserve">for Management based </w:t>
      </w:r>
      <w:proofErr w:type="spellStart"/>
      <w:r w:rsidR="00AE347B">
        <w:t>QoE</w:t>
      </w:r>
      <w:proofErr w:type="spellEnd"/>
      <w:r w:rsidR="00AE347B">
        <w:t xml:space="preserve">, </w:t>
      </w:r>
      <w:r>
        <w:t xml:space="preserve">SN can ask MN to configure the UE to send the </w:t>
      </w:r>
      <w:proofErr w:type="spellStart"/>
      <w:r>
        <w:t>QoE</w:t>
      </w:r>
      <w:proofErr w:type="spellEnd"/>
      <w:r>
        <w:t xml:space="preserve"> reports either to itself, or to MN. </w:t>
      </w:r>
      <w:r w:rsidR="003F08A6">
        <w:t xml:space="preserve">This would be the specific scenario, when the node that has configured the </w:t>
      </w:r>
      <w:proofErr w:type="spellStart"/>
      <w:r w:rsidR="003F08A6">
        <w:t>QoE</w:t>
      </w:r>
      <w:proofErr w:type="spellEnd"/>
      <w:r w:rsidR="003F08A6">
        <w:t xml:space="preserve">, indicates in the </w:t>
      </w:r>
      <w:proofErr w:type="spellStart"/>
      <w:r w:rsidR="003F08A6">
        <w:t>QoE</w:t>
      </w:r>
      <w:proofErr w:type="spellEnd"/>
      <w:r w:rsidR="003F08A6">
        <w:t xml:space="preserve"> configuration that reporting should take place over the SRB to the other node. </w:t>
      </w:r>
      <w:r w:rsidR="005F3681">
        <w:t xml:space="preserve">Though, the MN and SN can trigger different types of </w:t>
      </w:r>
      <w:proofErr w:type="spellStart"/>
      <w:r w:rsidR="005F3681">
        <w:t>QoE</w:t>
      </w:r>
      <w:proofErr w:type="spellEnd"/>
      <w:r w:rsidR="005F3681">
        <w:t xml:space="preserve"> configuration (container based and RAN visible </w:t>
      </w:r>
      <w:proofErr w:type="spellStart"/>
      <w:r w:rsidR="005F3681">
        <w:t>QoE</w:t>
      </w:r>
      <w:proofErr w:type="spellEnd"/>
      <w:r w:rsidR="005F3681">
        <w:t xml:space="preserve">), </w:t>
      </w:r>
      <w:r w:rsidR="007F6E21">
        <w:t xml:space="preserve">there are differentiated on RRC ID basis, thus the identified </w:t>
      </w:r>
      <w:r w:rsidR="00AE347B">
        <w:t>open point in RAN2</w:t>
      </w:r>
      <w:r w:rsidR="00102098">
        <w:t xml:space="preserve"> on what </w:t>
      </w:r>
      <w:proofErr w:type="gramStart"/>
      <w:r w:rsidR="00102098">
        <w:t xml:space="preserve">should be the </w:t>
      </w:r>
      <w:r w:rsidR="00B72327">
        <w:t>granularity</w:t>
      </w:r>
      <w:r w:rsidR="00102098">
        <w:t xml:space="preserve"> of SRB</w:t>
      </w:r>
      <w:proofErr w:type="gramEnd"/>
      <w:r w:rsidR="00102098">
        <w:t xml:space="preserve"> configured for reporting </w:t>
      </w:r>
      <w:r w:rsidR="23E9DCA4">
        <w:t>i</w:t>
      </w:r>
      <w:r w:rsidR="007F6E21">
        <w:t>s proposed to be resolved as follows:</w:t>
      </w:r>
      <w:r w:rsidRPr="69E17BFB">
        <w:rPr>
          <w:lang w:val="en-US"/>
        </w:rPr>
        <w:t xml:space="preserve"> </w:t>
      </w:r>
    </w:p>
    <w:p w14:paraId="1DFD22DA" w14:textId="2581BBDD" w:rsidR="003E0514" w:rsidRPr="007F6E21" w:rsidRDefault="00AE347B" w:rsidP="003F08A6">
      <w:pPr>
        <w:jc w:val="both"/>
        <w:rPr>
          <w:b/>
          <w:bCs/>
          <w:lang w:val="en-US"/>
        </w:rPr>
      </w:pPr>
      <w:r w:rsidRPr="495F65B9">
        <w:rPr>
          <w:b/>
          <w:bCs/>
          <w:lang w:val="en-US"/>
        </w:rPr>
        <w:t>Proposal</w:t>
      </w:r>
      <w:r w:rsidR="007F6E21" w:rsidRPr="495F65B9">
        <w:rPr>
          <w:b/>
          <w:bCs/>
          <w:lang w:val="en-US"/>
        </w:rPr>
        <w:t xml:space="preserve"> 5</w:t>
      </w:r>
      <w:r w:rsidRPr="495F65B9">
        <w:rPr>
          <w:b/>
          <w:bCs/>
          <w:lang w:val="en-US"/>
        </w:rPr>
        <w:t xml:space="preserve">: </w:t>
      </w:r>
      <w:r w:rsidR="00E33A5F" w:rsidRPr="495F65B9">
        <w:rPr>
          <w:b/>
          <w:bCs/>
        </w:rPr>
        <w:t xml:space="preserve">If </w:t>
      </w:r>
      <w:r w:rsidR="003F08A6" w:rsidRPr="495F65B9">
        <w:rPr>
          <w:b/>
          <w:bCs/>
        </w:rPr>
        <w:t xml:space="preserve">the </w:t>
      </w:r>
      <w:r w:rsidR="007F6E21" w:rsidRPr="495F65B9">
        <w:rPr>
          <w:b/>
          <w:bCs/>
        </w:rPr>
        <w:t>SRB configuration (SRB4 or SRB5)</w:t>
      </w:r>
      <w:r w:rsidR="003F08A6" w:rsidRPr="495F65B9">
        <w:rPr>
          <w:b/>
          <w:bCs/>
        </w:rPr>
        <w:t xml:space="preserve"> is indicated in the </w:t>
      </w:r>
      <w:proofErr w:type="spellStart"/>
      <w:r w:rsidR="003F08A6" w:rsidRPr="495F65B9">
        <w:rPr>
          <w:b/>
          <w:bCs/>
        </w:rPr>
        <w:t>QoE</w:t>
      </w:r>
      <w:proofErr w:type="spellEnd"/>
      <w:r w:rsidR="003F08A6" w:rsidRPr="495F65B9">
        <w:rPr>
          <w:b/>
          <w:bCs/>
        </w:rPr>
        <w:t xml:space="preserve"> configuration</w:t>
      </w:r>
      <w:r w:rsidR="00E33A5F" w:rsidRPr="495F65B9">
        <w:rPr>
          <w:b/>
          <w:bCs/>
        </w:rPr>
        <w:t xml:space="preserve">, </w:t>
      </w:r>
      <w:r w:rsidR="003F08A6" w:rsidRPr="495F65B9">
        <w:rPr>
          <w:b/>
          <w:bCs/>
        </w:rPr>
        <w:t xml:space="preserve">it is </w:t>
      </w:r>
      <w:r w:rsidR="188F4D39" w:rsidRPr="495F65B9">
        <w:rPr>
          <w:b/>
          <w:bCs/>
        </w:rPr>
        <w:t xml:space="preserve">linked </w:t>
      </w:r>
      <w:r w:rsidR="003F08A6" w:rsidRPr="495F65B9">
        <w:rPr>
          <w:b/>
          <w:bCs/>
        </w:rPr>
        <w:t xml:space="preserve">with </w:t>
      </w:r>
      <w:r w:rsidRPr="495F65B9">
        <w:rPr>
          <w:b/>
          <w:bCs/>
        </w:rPr>
        <w:t xml:space="preserve">a </w:t>
      </w:r>
      <w:r w:rsidR="003F08A6" w:rsidRPr="495F65B9">
        <w:rPr>
          <w:b/>
          <w:bCs/>
        </w:rPr>
        <w:t>corresponding RRC ID.</w:t>
      </w:r>
      <w:r w:rsidR="00E33A5F" w:rsidRPr="495F65B9">
        <w:rPr>
          <w:b/>
          <w:bCs/>
        </w:rPr>
        <w:t xml:space="preserve">  </w:t>
      </w:r>
    </w:p>
    <w:p w14:paraId="242E8199" w14:textId="59B2708A" w:rsidR="00411425" w:rsidRDefault="00A45B98" w:rsidP="003F08A6">
      <w:pPr>
        <w:jc w:val="both"/>
        <w:rPr>
          <w:lang w:val="en-US"/>
        </w:rPr>
      </w:pPr>
      <w:r w:rsidRPr="69E17BFB">
        <w:rPr>
          <w:lang w:val="en-US"/>
        </w:rPr>
        <w:t xml:space="preserve">For </w:t>
      </w:r>
      <w:r w:rsidR="00411425" w:rsidRPr="69E17BFB">
        <w:rPr>
          <w:lang w:val="en-US"/>
        </w:rPr>
        <w:t>‘</w:t>
      </w:r>
      <w:proofErr w:type="spellStart"/>
      <w:r w:rsidR="00411425" w:rsidRPr="69E17BFB">
        <w:rPr>
          <w:lang w:val="en-US"/>
        </w:rPr>
        <w:t>QoE</w:t>
      </w:r>
      <w:proofErr w:type="spellEnd"/>
      <w:r w:rsidR="00411425" w:rsidRPr="69E17BFB">
        <w:rPr>
          <w:lang w:val="en-US"/>
        </w:rPr>
        <w:t xml:space="preserve"> reporting leg switch’ indicator </w:t>
      </w:r>
      <w:r w:rsidRPr="69E17BFB">
        <w:rPr>
          <w:lang w:val="en-US"/>
        </w:rPr>
        <w:t xml:space="preserve">has </w:t>
      </w:r>
      <w:r w:rsidR="00411425" w:rsidRPr="69E17BFB">
        <w:rPr>
          <w:lang w:val="en-US"/>
        </w:rPr>
        <w:t>deci</w:t>
      </w:r>
      <w:r w:rsidRPr="69E17BFB">
        <w:rPr>
          <w:lang w:val="en-US"/>
        </w:rPr>
        <w:t xml:space="preserve">ded to introduce an explicit indicator. This </w:t>
      </w:r>
      <w:r w:rsidR="00262575" w:rsidRPr="69E17BFB">
        <w:rPr>
          <w:lang w:val="en-US"/>
        </w:rPr>
        <w:t>bring</w:t>
      </w:r>
      <w:r w:rsidRPr="69E17BFB">
        <w:rPr>
          <w:lang w:val="en-US"/>
        </w:rPr>
        <w:t>s</w:t>
      </w:r>
      <w:r w:rsidR="00262575" w:rsidRPr="69E17BFB">
        <w:rPr>
          <w:lang w:val="en-US"/>
        </w:rPr>
        <w:t xml:space="preserve"> </w:t>
      </w:r>
      <w:r w:rsidRPr="69E17BFB">
        <w:rPr>
          <w:lang w:val="en-US"/>
        </w:rPr>
        <w:t xml:space="preserve">further </w:t>
      </w:r>
      <w:r w:rsidR="00A624EC" w:rsidRPr="69E17BFB">
        <w:rPr>
          <w:lang w:val="en-US"/>
        </w:rPr>
        <w:t>i</w:t>
      </w:r>
      <w:r w:rsidR="00262575" w:rsidRPr="69E17BFB">
        <w:rPr>
          <w:lang w:val="en-US"/>
        </w:rPr>
        <w:t>mpacts to</w:t>
      </w:r>
      <w:r w:rsidR="00836EE9" w:rsidRPr="69E17BFB">
        <w:rPr>
          <w:lang w:val="en-US"/>
        </w:rPr>
        <w:t xml:space="preserve"> </w:t>
      </w:r>
      <w:r w:rsidR="002B0106" w:rsidRPr="69E17BFB">
        <w:rPr>
          <w:lang w:val="en-US"/>
        </w:rPr>
        <w:t>RRC</w:t>
      </w:r>
      <w:r w:rsidR="00262575" w:rsidRPr="69E17BFB">
        <w:rPr>
          <w:lang w:val="en-US"/>
        </w:rPr>
        <w:t xml:space="preserve"> procedures</w:t>
      </w:r>
      <w:r w:rsidR="002B0106" w:rsidRPr="69E17BFB">
        <w:rPr>
          <w:lang w:val="en-US"/>
        </w:rPr>
        <w:t xml:space="preserve"> and UE</w:t>
      </w:r>
      <w:r w:rsidR="00262575" w:rsidRPr="69E17BFB">
        <w:rPr>
          <w:lang w:val="en-US"/>
        </w:rPr>
        <w:t xml:space="preserve"> </w:t>
      </w:r>
      <w:r w:rsidR="006516D0" w:rsidRPr="69E17BFB">
        <w:rPr>
          <w:lang w:val="en-US"/>
        </w:rPr>
        <w:t>behavior</w:t>
      </w:r>
      <w:r w:rsidR="00262575" w:rsidRPr="69E17BFB">
        <w:rPr>
          <w:lang w:val="en-US"/>
        </w:rPr>
        <w:t xml:space="preserve">. </w:t>
      </w:r>
      <w:r w:rsidR="00442623">
        <w:t xml:space="preserve">The reporting switch configuration implies the UE has to switch </w:t>
      </w:r>
      <w:proofErr w:type="spellStart"/>
      <w:r w:rsidR="00442623">
        <w:t>QoE</w:t>
      </w:r>
      <w:proofErr w:type="spellEnd"/>
      <w:r w:rsidR="00442623">
        <w:t xml:space="preserve"> measurements reporting from SRB4 (to MN) to SRB5 (to SN) or vice versa. </w:t>
      </w:r>
      <w:r w:rsidR="00262575" w:rsidRPr="69E17BFB">
        <w:rPr>
          <w:lang w:val="en-US"/>
        </w:rPr>
        <w:t>An explicit indicator passed to the UE would require UE checking of the indicator itself vs.</w:t>
      </w:r>
      <w:r w:rsidR="44532196" w:rsidRPr="69E17BFB">
        <w:rPr>
          <w:lang w:val="en-US"/>
        </w:rPr>
        <w:t xml:space="preserve"> </w:t>
      </w:r>
      <w:r w:rsidR="00262575" w:rsidRPr="69E17BFB">
        <w:rPr>
          <w:lang w:val="en-US"/>
        </w:rPr>
        <w:t>possibilities (configured by the Network) to proceed with reporting (whether SRB4/SRB5 configuration allows the switch). Hence, f</w:t>
      </w:r>
      <w:r w:rsidR="002B0106" w:rsidRPr="69E17BFB">
        <w:rPr>
          <w:lang w:val="en-US"/>
        </w:rPr>
        <w:t xml:space="preserve">rom </w:t>
      </w:r>
      <w:r w:rsidR="00262575" w:rsidRPr="69E17BFB">
        <w:rPr>
          <w:lang w:val="en-US"/>
        </w:rPr>
        <w:t xml:space="preserve">the </w:t>
      </w:r>
      <w:r w:rsidR="002B0106" w:rsidRPr="69E17BFB">
        <w:rPr>
          <w:lang w:val="en-US"/>
        </w:rPr>
        <w:t>RRC signaling point of view, and associated UE procedures, we believe</w:t>
      </w:r>
      <w:r w:rsidRPr="69E17BFB">
        <w:rPr>
          <w:lang w:val="en-US"/>
        </w:rPr>
        <w:t xml:space="preserve"> the explicit indicator on reporting leg switch requires that the Network ensures </w:t>
      </w:r>
      <w:r w:rsidR="0097622B" w:rsidRPr="69E17BFB">
        <w:rPr>
          <w:lang w:val="en-US"/>
        </w:rPr>
        <w:t>appropriate</w:t>
      </w:r>
      <w:r w:rsidR="00DF4F16" w:rsidRPr="69E17BFB">
        <w:rPr>
          <w:lang w:val="en-US"/>
        </w:rPr>
        <w:t xml:space="preserve"> SRBs configuration</w:t>
      </w:r>
      <w:r w:rsidR="00411425" w:rsidRPr="69E17BFB">
        <w:rPr>
          <w:lang w:val="en-US"/>
        </w:rPr>
        <w:t>:</w:t>
      </w:r>
    </w:p>
    <w:p w14:paraId="272E95A9" w14:textId="2D9443E3" w:rsidR="00411425" w:rsidRDefault="00411425" w:rsidP="003F08A6">
      <w:pPr>
        <w:jc w:val="both"/>
        <w:rPr>
          <w:b/>
          <w:bCs/>
        </w:rPr>
      </w:pPr>
      <w:r w:rsidRPr="69E17BFB">
        <w:rPr>
          <w:b/>
          <w:bCs/>
        </w:rPr>
        <w:lastRenderedPageBreak/>
        <w:t xml:space="preserve">Proposal </w:t>
      </w:r>
      <w:r w:rsidR="007F6E21" w:rsidRPr="69E17BFB">
        <w:rPr>
          <w:b/>
          <w:bCs/>
        </w:rPr>
        <w:t>6</w:t>
      </w:r>
      <w:r w:rsidRPr="69E17BFB">
        <w:rPr>
          <w:b/>
          <w:bCs/>
        </w:rPr>
        <w:t xml:space="preserve">: </w:t>
      </w:r>
      <w:r w:rsidR="007C2A62">
        <w:rPr>
          <w:b/>
          <w:bCs/>
        </w:rPr>
        <w:t>An</w:t>
      </w:r>
      <w:r w:rsidR="007C2A62" w:rsidRPr="69E17BFB">
        <w:rPr>
          <w:b/>
          <w:bCs/>
        </w:rPr>
        <w:t xml:space="preserve"> </w:t>
      </w:r>
      <w:r w:rsidR="008A5074" w:rsidRPr="69E17BFB">
        <w:rPr>
          <w:b/>
          <w:bCs/>
        </w:rPr>
        <w:t xml:space="preserve">indicator on </w:t>
      </w:r>
      <w:r w:rsidR="007F6E21" w:rsidRPr="69E17BFB">
        <w:rPr>
          <w:b/>
          <w:bCs/>
        </w:rPr>
        <w:t>‘R</w:t>
      </w:r>
      <w:r w:rsidR="008A5074" w:rsidRPr="69E17BFB">
        <w:rPr>
          <w:b/>
          <w:bCs/>
        </w:rPr>
        <w:t>eporting</w:t>
      </w:r>
      <w:r w:rsidRPr="69E17BFB">
        <w:rPr>
          <w:b/>
          <w:bCs/>
        </w:rPr>
        <w:t xml:space="preserve"> leg s</w:t>
      </w:r>
      <w:r w:rsidR="008A5074" w:rsidRPr="69E17BFB">
        <w:rPr>
          <w:b/>
          <w:bCs/>
        </w:rPr>
        <w:t>witch</w:t>
      </w:r>
      <w:r w:rsidR="007F6E21" w:rsidRPr="69E17BFB">
        <w:rPr>
          <w:b/>
          <w:bCs/>
        </w:rPr>
        <w:t>’</w:t>
      </w:r>
      <w:r w:rsidR="008A5074" w:rsidRPr="69E17BFB">
        <w:rPr>
          <w:b/>
          <w:bCs/>
        </w:rPr>
        <w:t xml:space="preserve"> is associated with relevant </w:t>
      </w:r>
      <w:r w:rsidRPr="69E17BFB">
        <w:rPr>
          <w:b/>
          <w:bCs/>
        </w:rPr>
        <w:t>SRB configuration</w:t>
      </w:r>
      <w:r w:rsidR="008A5074" w:rsidRPr="69E17BFB">
        <w:rPr>
          <w:b/>
          <w:bCs/>
        </w:rPr>
        <w:t xml:space="preserve"> </w:t>
      </w:r>
      <w:r w:rsidR="00993FC5">
        <w:rPr>
          <w:b/>
          <w:bCs/>
        </w:rPr>
        <w:t xml:space="preserve">by </w:t>
      </w:r>
      <w:r w:rsidR="008A5074" w:rsidRPr="69E17BFB">
        <w:rPr>
          <w:b/>
          <w:bCs/>
        </w:rPr>
        <w:t>the gNB</w:t>
      </w:r>
      <w:r w:rsidR="00DF4F16" w:rsidRPr="69E17BFB">
        <w:rPr>
          <w:b/>
          <w:bCs/>
        </w:rPr>
        <w:t>.</w:t>
      </w:r>
      <w:r w:rsidR="008A5074" w:rsidRPr="69E17BFB">
        <w:rPr>
          <w:b/>
          <w:bCs/>
        </w:rPr>
        <w:t xml:space="preserve"> If the switch is configured, the configuring node </w:t>
      </w:r>
      <w:r w:rsidR="453A04B0" w:rsidRPr="69E17BFB">
        <w:rPr>
          <w:b/>
          <w:bCs/>
        </w:rPr>
        <w:t xml:space="preserve">ensures or </w:t>
      </w:r>
      <w:r w:rsidR="008A5074" w:rsidRPr="69E17BFB">
        <w:rPr>
          <w:b/>
          <w:bCs/>
        </w:rPr>
        <w:t xml:space="preserve">triggers appropriate SRB configuration (SRB4 in MN or SRB5 in SN). </w:t>
      </w:r>
      <w:r w:rsidR="00B24437" w:rsidRPr="69E17BFB">
        <w:rPr>
          <w:b/>
          <w:bCs/>
        </w:rPr>
        <w:t xml:space="preserve"> </w:t>
      </w:r>
    </w:p>
    <w:p w14:paraId="2B4A4341" w14:textId="77777777" w:rsidR="00411425" w:rsidRDefault="00411425" w:rsidP="003F08A6">
      <w:pPr>
        <w:pStyle w:val="Heading2"/>
        <w:jc w:val="both"/>
        <w:rPr>
          <w:lang w:eastAsia="zh-CN"/>
        </w:rPr>
      </w:pPr>
      <w:r>
        <w:rPr>
          <w:lang w:eastAsia="zh-CN"/>
        </w:rPr>
        <w:t>2.3</w:t>
      </w:r>
      <w:r>
        <w:tab/>
      </w:r>
      <w:proofErr w:type="spellStart"/>
      <w:r>
        <w:rPr>
          <w:lang w:eastAsia="zh-CN"/>
        </w:rPr>
        <w:t>QoE</w:t>
      </w:r>
      <w:proofErr w:type="spellEnd"/>
      <w:r>
        <w:rPr>
          <w:lang w:eastAsia="zh-CN"/>
        </w:rPr>
        <w:t xml:space="preserve"> Pause</w:t>
      </w:r>
    </w:p>
    <w:p w14:paraId="24138D15" w14:textId="2A0A18FF" w:rsidR="00C54C36" w:rsidRDefault="00EC6596" w:rsidP="003F08A6">
      <w:pPr>
        <w:jc w:val="both"/>
      </w:pPr>
      <w:r>
        <w:t>RAN2#12</w:t>
      </w:r>
      <w:r w:rsidR="00B13458">
        <w:t>1</w:t>
      </w:r>
      <w:r w:rsidR="00C54C36">
        <w:t>bis-e agreed:</w:t>
      </w:r>
    </w:p>
    <w:p w14:paraId="4E6AAA51" w14:textId="77777777" w:rsidR="00C54C36" w:rsidRPr="00C54C36" w:rsidRDefault="00C54C36" w:rsidP="00C54C36">
      <w:pPr>
        <w:pStyle w:val="Agreement"/>
        <w:numPr>
          <w:ilvl w:val="0"/>
          <w:numId w:val="0"/>
        </w:numPr>
        <w:ind w:left="1619"/>
        <w:rPr>
          <w:rFonts w:ascii="Times New Roman" w:eastAsia="宋体" w:hAnsi="Times New Roman"/>
          <w:b w:val="0"/>
          <w:i/>
          <w:iCs/>
          <w:noProof/>
          <w:szCs w:val="20"/>
          <w:lang w:eastAsia="en-US"/>
        </w:rPr>
      </w:pPr>
      <w:r w:rsidRPr="00C54C36">
        <w:rPr>
          <w:rFonts w:ascii="Times New Roman" w:eastAsia="宋体" w:hAnsi="Times New Roman"/>
          <w:b w:val="0"/>
          <w:i/>
          <w:iCs/>
          <w:noProof/>
          <w:szCs w:val="20"/>
          <w:lang w:eastAsia="en-US"/>
        </w:rPr>
        <w:t>As a baseline, Rel-17 pause/resume procedure is reused to pause/resume reporting of one or multiple QoE measurement configurations in a UE for NR-DC. Details are FFS, e.g. whether paused QoE reports can be reported to SN (if SN is not overload).</w:t>
      </w:r>
    </w:p>
    <w:p w14:paraId="053AF853" w14:textId="77777777" w:rsidR="00C54C36" w:rsidRPr="00C54C36" w:rsidRDefault="00C54C36" w:rsidP="00C54C36">
      <w:pPr>
        <w:rPr>
          <w:lang w:eastAsia="en-GB"/>
        </w:rPr>
      </w:pPr>
    </w:p>
    <w:p w14:paraId="5B02E04A" w14:textId="6A60F3A7" w:rsidR="00411425" w:rsidRPr="00A33127" w:rsidRDefault="00411425" w:rsidP="003F08A6">
      <w:pPr>
        <w:jc w:val="both"/>
      </w:pPr>
      <w:r w:rsidRPr="00A33127">
        <w:t>If the network is overloaded it can use ‘</w:t>
      </w:r>
      <w:proofErr w:type="spellStart"/>
      <w:r w:rsidRPr="00A33127">
        <w:t>pauseReporting</w:t>
      </w:r>
      <w:proofErr w:type="spellEnd"/>
      <w:r w:rsidRPr="00A33127">
        <w:t xml:space="preserve">’ RRC indication to temporarily stop </w:t>
      </w:r>
      <w:proofErr w:type="spellStart"/>
      <w:r w:rsidRPr="00A33127">
        <w:t>QoE</w:t>
      </w:r>
      <w:proofErr w:type="spellEnd"/>
      <w:r w:rsidRPr="00A33127">
        <w:t xml:space="preserve"> reports from being sent from the UE to the network. Handling of the suspended reports relies on buffering in the UE Access Stratum, until the </w:t>
      </w:r>
      <w:proofErr w:type="spellStart"/>
      <w:r w:rsidRPr="00A33127">
        <w:t>gNB</w:t>
      </w:r>
      <w:proofErr w:type="spellEnd"/>
      <w:r w:rsidRPr="00A33127">
        <w:t xml:space="preserve"> resumes the </w:t>
      </w:r>
      <w:proofErr w:type="spellStart"/>
      <w:r w:rsidRPr="00A33127">
        <w:t>QoE</w:t>
      </w:r>
      <w:proofErr w:type="spellEnd"/>
      <w:r w:rsidRPr="00A33127">
        <w:t xml:space="preserve"> reports.</w:t>
      </w:r>
    </w:p>
    <w:p w14:paraId="18636242" w14:textId="247030A6" w:rsidR="00411425" w:rsidRDefault="00411425" w:rsidP="003F08A6">
      <w:pPr>
        <w:jc w:val="both"/>
      </w:pPr>
      <w:r>
        <w:t xml:space="preserve">In DC, the temporary suspension of the </w:t>
      </w:r>
      <w:proofErr w:type="spellStart"/>
      <w:r>
        <w:t>QoE</w:t>
      </w:r>
      <w:proofErr w:type="spellEnd"/>
      <w:r>
        <w:t xml:space="preserve"> reporting may take different meaning. After configuring the UE to suspend the </w:t>
      </w:r>
      <w:proofErr w:type="spellStart"/>
      <w:r>
        <w:t>QoE</w:t>
      </w:r>
      <w:proofErr w:type="spellEnd"/>
      <w:r>
        <w:t xml:space="preserve"> report transmission, the UE does not know whether the suspension concerns any reporting or to </w:t>
      </w:r>
      <w:r w:rsidR="00893EE1">
        <w:t>the configuring node</w:t>
      </w:r>
      <w:r>
        <w:t xml:space="preserve"> only. </w:t>
      </w:r>
    </w:p>
    <w:p w14:paraId="37BD3C9E" w14:textId="7F07281E" w:rsidR="00411425" w:rsidRPr="005E4A30" w:rsidRDefault="00411425" w:rsidP="003F08A6">
      <w:pPr>
        <w:jc w:val="both"/>
        <w:rPr>
          <w:b/>
          <w:bCs/>
        </w:rPr>
      </w:pPr>
      <w:r w:rsidRPr="005E4A30">
        <w:rPr>
          <w:b/>
          <w:bCs/>
        </w:rPr>
        <w:t>Observation</w:t>
      </w:r>
      <w:r w:rsidR="007F7375">
        <w:rPr>
          <w:b/>
          <w:bCs/>
        </w:rPr>
        <w:t xml:space="preserve"> </w:t>
      </w:r>
      <w:r w:rsidR="006D3EA8">
        <w:rPr>
          <w:b/>
          <w:bCs/>
        </w:rPr>
        <w:t>4</w:t>
      </w:r>
      <w:r w:rsidRPr="005E4A30">
        <w:rPr>
          <w:b/>
          <w:bCs/>
        </w:rPr>
        <w:t>: ‘</w:t>
      </w:r>
      <w:proofErr w:type="spellStart"/>
      <w:r w:rsidRPr="005E4A30">
        <w:rPr>
          <w:b/>
          <w:bCs/>
        </w:rPr>
        <w:t>pauseReporting</w:t>
      </w:r>
      <w:proofErr w:type="spellEnd"/>
      <w:r w:rsidRPr="005E4A30">
        <w:rPr>
          <w:b/>
          <w:bCs/>
        </w:rPr>
        <w:t xml:space="preserve">’  indication from MN does not clarify whether the UE can transfer the </w:t>
      </w:r>
      <w:proofErr w:type="spellStart"/>
      <w:r w:rsidRPr="005E4A30">
        <w:rPr>
          <w:b/>
          <w:bCs/>
        </w:rPr>
        <w:t>QoE</w:t>
      </w:r>
      <w:proofErr w:type="spellEnd"/>
      <w:r w:rsidRPr="005E4A30">
        <w:rPr>
          <w:b/>
          <w:bCs/>
        </w:rPr>
        <w:t xml:space="preserve"> reports to the SN.</w:t>
      </w:r>
    </w:p>
    <w:p w14:paraId="21CB6CDE" w14:textId="41924CD5" w:rsidR="007C27AA" w:rsidRDefault="00411425" w:rsidP="005F451C">
      <w:pPr>
        <w:jc w:val="both"/>
      </w:pPr>
      <w:r>
        <w:t xml:space="preserve">Since there will be possibility to report to the SN, and Rel-18 aims to support reporting continuity, the received pause indication could trigger different actions, which are currently unspecified. </w:t>
      </w:r>
      <w:r w:rsidR="005A4F39">
        <w:t>I</w:t>
      </w:r>
      <w:r w:rsidR="004D0C27" w:rsidRPr="00375AB6">
        <w:rPr>
          <w:noProof/>
        </w:rPr>
        <w:t>n</w:t>
      </w:r>
      <w:r w:rsidR="004D0C27" w:rsidRPr="00375AB6">
        <w:rPr>
          <w:bCs/>
          <w:noProof/>
        </w:rPr>
        <w:t xml:space="preserve"> that context, </w:t>
      </w:r>
      <w:r w:rsidR="005713ED">
        <w:rPr>
          <w:bCs/>
          <w:noProof/>
        </w:rPr>
        <w:t>RAN2</w:t>
      </w:r>
      <w:r w:rsidR="004D0C27" w:rsidRPr="00375AB6">
        <w:rPr>
          <w:bCs/>
          <w:noProof/>
        </w:rPr>
        <w:t xml:space="preserve"> noted </w:t>
      </w:r>
      <w:r w:rsidR="00D64A31">
        <w:rPr>
          <w:bCs/>
          <w:noProof/>
        </w:rPr>
        <w:t xml:space="preserve">the </w:t>
      </w:r>
      <w:r w:rsidR="004D0C27" w:rsidRPr="00375AB6">
        <w:rPr>
          <w:bCs/>
          <w:noProof/>
        </w:rPr>
        <w:t>FFS</w:t>
      </w:r>
      <w:r w:rsidR="00786D11">
        <w:rPr>
          <w:bCs/>
          <w:noProof/>
        </w:rPr>
        <w:t>:</w:t>
      </w:r>
      <w:r w:rsidR="004D0C27" w:rsidRPr="00375AB6">
        <w:rPr>
          <w:bCs/>
          <w:noProof/>
        </w:rPr>
        <w:t xml:space="preserve"> </w:t>
      </w:r>
      <w:r w:rsidR="00EA7E33">
        <w:rPr>
          <w:bCs/>
          <w:noProof/>
        </w:rPr>
        <w:t>‘</w:t>
      </w:r>
      <w:r w:rsidR="004D0C27" w:rsidRPr="00375AB6">
        <w:rPr>
          <w:bCs/>
          <w:noProof/>
        </w:rPr>
        <w:t>whether paused QoE reports can be reported to SN (if SN is not overload)</w:t>
      </w:r>
      <w:r w:rsidR="00EA7E33">
        <w:rPr>
          <w:bCs/>
          <w:noProof/>
        </w:rPr>
        <w:t>’</w:t>
      </w:r>
      <w:r w:rsidR="005713ED">
        <w:rPr>
          <w:bCs/>
          <w:noProof/>
        </w:rPr>
        <w:t xml:space="preserve">. </w:t>
      </w:r>
      <w:r w:rsidR="005064E2">
        <w:rPr>
          <w:bCs/>
          <w:noProof/>
        </w:rPr>
        <w:t>T</w:t>
      </w:r>
      <w:r w:rsidR="008D3DE7">
        <w:rPr>
          <w:bCs/>
          <w:noProof/>
        </w:rPr>
        <w:t xml:space="preserve">o achieve </w:t>
      </w:r>
      <w:r w:rsidR="00BD2464">
        <w:rPr>
          <w:bCs/>
          <w:noProof/>
        </w:rPr>
        <w:t xml:space="preserve">the </w:t>
      </w:r>
      <w:r w:rsidR="008D3DE7">
        <w:rPr>
          <w:bCs/>
          <w:noProof/>
        </w:rPr>
        <w:t>reportin</w:t>
      </w:r>
      <w:r w:rsidR="00A11AB3">
        <w:rPr>
          <w:bCs/>
          <w:noProof/>
        </w:rPr>
        <w:t>g</w:t>
      </w:r>
      <w:r w:rsidR="008D3DE7">
        <w:rPr>
          <w:bCs/>
          <w:noProof/>
        </w:rPr>
        <w:t xml:space="preserve"> continuity</w:t>
      </w:r>
      <w:r w:rsidR="005064E2">
        <w:rPr>
          <w:bCs/>
          <w:noProof/>
        </w:rPr>
        <w:t xml:space="preserve"> we believe </w:t>
      </w:r>
      <w:r w:rsidR="00025B9E">
        <w:rPr>
          <w:bCs/>
          <w:noProof/>
        </w:rPr>
        <w:t xml:space="preserve">the </w:t>
      </w:r>
      <w:r w:rsidR="00F109E0">
        <w:rPr>
          <w:bCs/>
          <w:noProof/>
        </w:rPr>
        <w:t>reporting to SN should be possible, unless the node trigger</w:t>
      </w:r>
      <w:r w:rsidR="00280DC6">
        <w:rPr>
          <w:bCs/>
          <w:noProof/>
        </w:rPr>
        <w:t>s</w:t>
      </w:r>
      <w:r w:rsidR="00F109E0">
        <w:rPr>
          <w:bCs/>
          <w:noProof/>
        </w:rPr>
        <w:t xml:space="preserve"> the pause itself. </w:t>
      </w:r>
      <w:r w:rsidR="00BB5340">
        <w:t xml:space="preserve"> Therefore, we propose:</w:t>
      </w:r>
    </w:p>
    <w:p w14:paraId="64D2741F" w14:textId="249A66FD" w:rsidR="00411425" w:rsidRDefault="00411425" w:rsidP="003F08A6">
      <w:pPr>
        <w:spacing w:line="259" w:lineRule="auto"/>
        <w:jc w:val="both"/>
        <w:rPr>
          <w:b/>
          <w:bCs/>
        </w:rPr>
      </w:pPr>
      <w:r w:rsidRPr="261DAD44">
        <w:rPr>
          <w:b/>
          <w:bCs/>
        </w:rPr>
        <w:t xml:space="preserve">Proposal </w:t>
      </w:r>
      <w:r w:rsidR="00237839">
        <w:rPr>
          <w:b/>
          <w:bCs/>
        </w:rPr>
        <w:t>7</w:t>
      </w:r>
      <w:r w:rsidRPr="261DAD44">
        <w:rPr>
          <w:b/>
          <w:bCs/>
        </w:rPr>
        <w:t xml:space="preserve">: FFS what </w:t>
      </w:r>
      <w:proofErr w:type="spellStart"/>
      <w:r w:rsidRPr="261DAD44">
        <w:rPr>
          <w:b/>
          <w:bCs/>
          <w:lang w:val="en-US"/>
        </w:rPr>
        <w:t>pauseReporting</w:t>
      </w:r>
      <w:proofErr w:type="spellEnd"/>
      <w:r w:rsidRPr="261DAD44">
        <w:rPr>
          <w:b/>
          <w:bCs/>
        </w:rPr>
        <w:t xml:space="preserve"> implies in DC (e.g., if MN sends Pause to suspend reporting to both: MN and SN, or to suspend reporting to MN only).</w:t>
      </w:r>
    </w:p>
    <w:p w14:paraId="054A81F7" w14:textId="03FB1270" w:rsidR="00F45879" w:rsidRDefault="003221BA" w:rsidP="003F08A6">
      <w:pPr>
        <w:spacing w:line="259" w:lineRule="auto"/>
        <w:jc w:val="both"/>
        <w:rPr>
          <w:b/>
        </w:rPr>
      </w:pPr>
      <w:r w:rsidRPr="261DAD44">
        <w:rPr>
          <w:b/>
          <w:bCs/>
        </w:rPr>
        <w:t xml:space="preserve">Proposal </w:t>
      </w:r>
      <w:r>
        <w:rPr>
          <w:b/>
          <w:bCs/>
        </w:rPr>
        <w:t>8</w:t>
      </w:r>
      <w:r w:rsidRPr="261DAD44">
        <w:rPr>
          <w:b/>
          <w:bCs/>
        </w:rPr>
        <w:t xml:space="preserve">: </w:t>
      </w:r>
      <w:r w:rsidRPr="00375AB6">
        <w:rPr>
          <w:b/>
          <w:noProof/>
        </w:rPr>
        <w:t>QoE reports can be reported to SN (if SN is not overload).</w:t>
      </w:r>
    </w:p>
    <w:p w14:paraId="78BDB23C" w14:textId="77777777" w:rsidR="00411425" w:rsidRPr="006E13D1" w:rsidRDefault="00411425" w:rsidP="00411425">
      <w:pPr>
        <w:pStyle w:val="Heading1"/>
      </w:pPr>
      <w:r>
        <w:t>3</w:t>
      </w:r>
      <w:r w:rsidRPr="006E13D1">
        <w:tab/>
      </w:r>
      <w:r>
        <w:t>Conclusion</w:t>
      </w:r>
    </w:p>
    <w:p w14:paraId="206B93FF" w14:textId="77777777" w:rsidR="00411425" w:rsidRPr="006E13D1" w:rsidRDefault="00411425" w:rsidP="00411425">
      <w:r>
        <w:t>This document has made the following proposals:</w:t>
      </w:r>
    </w:p>
    <w:p w14:paraId="2E636353" w14:textId="77777777" w:rsidR="003E6868" w:rsidRDefault="003E6868" w:rsidP="003E6868">
      <w:pPr>
        <w:jc w:val="both"/>
        <w:rPr>
          <w:b/>
          <w:bCs/>
        </w:rPr>
      </w:pPr>
      <w:r w:rsidRPr="00D314A8">
        <w:rPr>
          <w:b/>
          <w:bCs/>
        </w:rPr>
        <w:t xml:space="preserve">Proposal 1: </w:t>
      </w:r>
      <w:r>
        <w:rPr>
          <w:b/>
          <w:bCs/>
        </w:rPr>
        <w:t>There is no need</w:t>
      </w:r>
      <w:r w:rsidRPr="00D314A8">
        <w:rPr>
          <w:b/>
          <w:bCs/>
        </w:rPr>
        <w:t xml:space="preserve"> </w:t>
      </w:r>
      <w:r>
        <w:rPr>
          <w:b/>
          <w:bCs/>
        </w:rPr>
        <w:t xml:space="preserve">for a dedicated </w:t>
      </w:r>
      <w:r w:rsidRPr="00D314A8">
        <w:rPr>
          <w:b/>
          <w:bCs/>
        </w:rPr>
        <w:t xml:space="preserve">RRC IDs for MN or SN over </w:t>
      </w:r>
      <w:proofErr w:type="spellStart"/>
      <w:r w:rsidRPr="00D314A8">
        <w:rPr>
          <w:b/>
          <w:bCs/>
        </w:rPr>
        <w:t>Uu</w:t>
      </w:r>
      <w:proofErr w:type="spellEnd"/>
      <w:r>
        <w:rPr>
          <w:b/>
          <w:bCs/>
        </w:rPr>
        <w:t>.</w:t>
      </w:r>
    </w:p>
    <w:p w14:paraId="35E6245F" w14:textId="5D3E54C8" w:rsidR="003E6868" w:rsidRDefault="003E6868" w:rsidP="003E6868">
      <w:pPr>
        <w:jc w:val="both"/>
        <w:rPr>
          <w:b/>
          <w:bCs/>
        </w:rPr>
      </w:pPr>
      <w:r w:rsidRPr="00D314A8">
        <w:rPr>
          <w:b/>
          <w:bCs/>
        </w:rPr>
        <w:t xml:space="preserve">Proposal </w:t>
      </w:r>
      <w:r>
        <w:rPr>
          <w:b/>
          <w:bCs/>
        </w:rPr>
        <w:t>2</w:t>
      </w:r>
      <w:r w:rsidRPr="00D314A8">
        <w:rPr>
          <w:b/>
          <w:bCs/>
        </w:rPr>
        <w:t xml:space="preserve">: </w:t>
      </w:r>
      <w:r>
        <w:rPr>
          <w:b/>
          <w:bCs/>
        </w:rPr>
        <w:t xml:space="preserve">The existing </w:t>
      </w:r>
      <w:proofErr w:type="spellStart"/>
      <w:r>
        <w:rPr>
          <w:b/>
          <w:bCs/>
        </w:rPr>
        <w:t>measConfigAppLayerId</w:t>
      </w:r>
      <w:proofErr w:type="spellEnd"/>
      <w:r>
        <w:rPr>
          <w:b/>
          <w:bCs/>
        </w:rPr>
        <w:t xml:space="preserve"> can be reused </w:t>
      </w:r>
      <w:r w:rsidR="002A5527">
        <w:rPr>
          <w:b/>
          <w:bCs/>
        </w:rPr>
        <w:t xml:space="preserve">either </w:t>
      </w:r>
      <w:r>
        <w:rPr>
          <w:b/>
          <w:bCs/>
        </w:rPr>
        <w:t>for MN or SN configuration.</w:t>
      </w:r>
    </w:p>
    <w:p w14:paraId="0C091813" w14:textId="77777777" w:rsidR="003E6868" w:rsidRPr="000C1916" w:rsidRDefault="003E6868" w:rsidP="003E6868">
      <w:pPr>
        <w:jc w:val="both"/>
        <w:rPr>
          <w:b/>
          <w:bCs/>
        </w:rPr>
      </w:pPr>
      <w:r w:rsidRPr="000C1916">
        <w:rPr>
          <w:b/>
          <w:bCs/>
        </w:rPr>
        <w:t>Proposal 3: RAN2 discuss whether the UE’s maximum number of application layer measurement configurations (i.e., 16) needs extension for DC.</w:t>
      </w:r>
      <w:r>
        <w:rPr>
          <w:b/>
          <w:bCs/>
        </w:rPr>
        <w:t xml:space="preserve"> </w:t>
      </w:r>
    </w:p>
    <w:p w14:paraId="071D060D" w14:textId="77777777" w:rsidR="003E6868" w:rsidRDefault="003E6868" w:rsidP="003E6868">
      <w:pPr>
        <w:jc w:val="both"/>
      </w:pPr>
      <w:r w:rsidRPr="261DAD44">
        <w:rPr>
          <w:b/>
          <w:bCs/>
        </w:rPr>
        <w:t xml:space="preserve">Proposal </w:t>
      </w:r>
      <w:r>
        <w:rPr>
          <w:b/>
          <w:bCs/>
        </w:rPr>
        <w:t>4</w:t>
      </w:r>
      <w:r w:rsidRPr="261DAD44">
        <w:rPr>
          <w:b/>
          <w:bCs/>
        </w:rPr>
        <w:t xml:space="preserve">: </w:t>
      </w:r>
      <w:r>
        <w:rPr>
          <w:b/>
          <w:bCs/>
        </w:rPr>
        <w:t xml:space="preserve">A default behaviour on </w:t>
      </w:r>
      <w:proofErr w:type="spellStart"/>
      <w:r w:rsidRPr="00442623">
        <w:rPr>
          <w:b/>
          <w:bCs/>
        </w:rPr>
        <w:t>QoE</w:t>
      </w:r>
      <w:proofErr w:type="spellEnd"/>
      <w:r w:rsidRPr="00442623">
        <w:rPr>
          <w:b/>
          <w:bCs/>
        </w:rPr>
        <w:t xml:space="preserve"> reporting </w:t>
      </w:r>
      <w:r>
        <w:rPr>
          <w:b/>
          <w:bCs/>
        </w:rPr>
        <w:t xml:space="preserve">(unless specified otherwise) </w:t>
      </w:r>
      <w:r w:rsidRPr="00436A30">
        <w:rPr>
          <w:b/>
          <w:bCs/>
        </w:rPr>
        <w:t xml:space="preserve">is that the UE sends </w:t>
      </w:r>
      <w:proofErr w:type="spellStart"/>
      <w:r w:rsidRPr="007F6E21">
        <w:rPr>
          <w:b/>
          <w:bCs/>
        </w:rPr>
        <w:t>QoE</w:t>
      </w:r>
      <w:proofErr w:type="spellEnd"/>
      <w:r w:rsidRPr="007F6E21">
        <w:rPr>
          <w:b/>
          <w:bCs/>
        </w:rPr>
        <w:t xml:space="preserve"> reports to the node that has configured the UE for </w:t>
      </w:r>
      <w:proofErr w:type="spellStart"/>
      <w:r w:rsidRPr="007F6E21">
        <w:rPr>
          <w:b/>
          <w:bCs/>
        </w:rPr>
        <w:t>QoE</w:t>
      </w:r>
      <w:proofErr w:type="spellEnd"/>
      <w:r w:rsidRPr="007F6E21">
        <w:rPr>
          <w:b/>
          <w:bCs/>
        </w:rPr>
        <w:t>.</w:t>
      </w:r>
      <w:r>
        <w:t xml:space="preserve"> </w:t>
      </w:r>
    </w:p>
    <w:p w14:paraId="51E17466" w14:textId="77777777" w:rsidR="003E6868" w:rsidRPr="007F6E21" w:rsidRDefault="003E6868" w:rsidP="003E6868">
      <w:pPr>
        <w:jc w:val="both"/>
        <w:rPr>
          <w:b/>
          <w:bCs/>
          <w:lang w:val="en-US"/>
        </w:rPr>
      </w:pPr>
      <w:r w:rsidRPr="495F65B9">
        <w:rPr>
          <w:b/>
          <w:bCs/>
          <w:lang w:val="en-US"/>
        </w:rPr>
        <w:t xml:space="preserve">Proposal 5: </w:t>
      </w:r>
      <w:r w:rsidRPr="495F65B9">
        <w:rPr>
          <w:b/>
          <w:bCs/>
        </w:rPr>
        <w:t xml:space="preserve">If the SRB configuration (SRB4 or SRB5) is indicated in the </w:t>
      </w:r>
      <w:proofErr w:type="spellStart"/>
      <w:r w:rsidRPr="495F65B9">
        <w:rPr>
          <w:b/>
          <w:bCs/>
        </w:rPr>
        <w:t>QoE</w:t>
      </w:r>
      <w:proofErr w:type="spellEnd"/>
      <w:r w:rsidRPr="495F65B9">
        <w:rPr>
          <w:b/>
          <w:bCs/>
        </w:rPr>
        <w:t xml:space="preserve"> configuration, it is linked with a corresponding RRC ID.  </w:t>
      </w:r>
    </w:p>
    <w:p w14:paraId="6B91400C" w14:textId="77777777" w:rsidR="003E6868" w:rsidRDefault="003E6868" w:rsidP="003E6868">
      <w:pPr>
        <w:jc w:val="both"/>
        <w:rPr>
          <w:b/>
          <w:bCs/>
        </w:rPr>
      </w:pPr>
      <w:r w:rsidRPr="69E17BFB">
        <w:rPr>
          <w:b/>
          <w:bCs/>
        </w:rPr>
        <w:t xml:space="preserve">Proposal 6: </w:t>
      </w:r>
      <w:r>
        <w:rPr>
          <w:b/>
          <w:bCs/>
        </w:rPr>
        <w:t>An</w:t>
      </w:r>
      <w:r w:rsidRPr="69E17BFB">
        <w:rPr>
          <w:b/>
          <w:bCs/>
        </w:rPr>
        <w:t xml:space="preserve"> indicator on ‘Reporting leg switch’ is associated with relevant SRB configuration the gNB. If the switch is configured, the configuring node ensures or triggers appropriate SRB configuration (SRB4 in MN or SRB5 in SN).  </w:t>
      </w:r>
    </w:p>
    <w:p w14:paraId="310C677E" w14:textId="77777777" w:rsidR="008E10FC" w:rsidRDefault="008E10FC" w:rsidP="008E10FC">
      <w:pPr>
        <w:spacing w:line="259" w:lineRule="auto"/>
        <w:jc w:val="both"/>
        <w:rPr>
          <w:b/>
          <w:bCs/>
        </w:rPr>
      </w:pPr>
      <w:r w:rsidRPr="261DAD44">
        <w:rPr>
          <w:b/>
          <w:bCs/>
        </w:rPr>
        <w:t xml:space="preserve">Proposal </w:t>
      </w:r>
      <w:r>
        <w:rPr>
          <w:b/>
          <w:bCs/>
        </w:rPr>
        <w:t>7</w:t>
      </w:r>
      <w:r w:rsidRPr="261DAD44">
        <w:rPr>
          <w:b/>
          <w:bCs/>
        </w:rPr>
        <w:t xml:space="preserve">: FFS what </w:t>
      </w:r>
      <w:proofErr w:type="spellStart"/>
      <w:r w:rsidRPr="261DAD44">
        <w:rPr>
          <w:b/>
          <w:bCs/>
          <w:lang w:val="en-US"/>
        </w:rPr>
        <w:t>pauseReporting</w:t>
      </w:r>
      <w:proofErr w:type="spellEnd"/>
      <w:r w:rsidRPr="261DAD44">
        <w:rPr>
          <w:b/>
          <w:bCs/>
        </w:rPr>
        <w:t xml:space="preserve"> implies in DC (e.g., if MN sends Pause to suspend reporting to both: MN and SN, or to suspend reporting to MN only).</w:t>
      </w:r>
    </w:p>
    <w:p w14:paraId="58491411" w14:textId="77777777" w:rsidR="003E6868" w:rsidRDefault="003E6868" w:rsidP="003E6868">
      <w:pPr>
        <w:spacing w:line="259" w:lineRule="auto"/>
        <w:jc w:val="both"/>
        <w:rPr>
          <w:b/>
        </w:rPr>
      </w:pPr>
      <w:r w:rsidRPr="261DAD44">
        <w:rPr>
          <w:b/>
          <w:bCs/>
        </w:rPr>
        <w:t xml:space="preserve">Proposal </w:t>
      </w:r>
      <w:r>
        <w:rPr>
          <w:b/>
          <w:bCs/>
        </w:rPr>
        <w:t>8</w:t>
      </w:r>
      <w:r w:rsidRPr="261DAD44">
        <w:rPr>
          <w:b/>
          <w:bCs/>
        </w:rPr>
        <w:t xml:space="preserve">: </w:t>
      </w:r>
      <w:r w:rsidRPr="00055E2F">
        <w:rPr>
          <w:b/>
          <w:noProof/>
        </w:rPr>
        <w:t>QoE reports can be reported to SN (if SN is not overload).</w:t>
      </w:r>
    </w:p>
    <w:p w14:paraId="35F222F4" w14:textId="0896E8F2" w:rsidR="00080512" w:rsidRPr="005905A3" w:rsidRDefault="00080512" w:rsidP="00DF4F16">
      <w:pPr>
        <w:spacing w:line="259" w:lineRule="auto"/>
        <w:rPr>
          <w:b/>
          <w:bCs/>
        </w:rPr>
      </w:pPr>
    </w:p>
    <w:sectPr w:rsidR="00080512" w:rsidRPr="005905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F4F4" w14:textId="77777777" w:rsidR="00317EBE" w:rsidRDefault="00317EBE">
      <w:r>
        <w:separator/>
      </w:r>
    </w:p>
  </w:endnote>
  <w:endnote w:type="continuationSeparator" w:id="0">
    <w:p w14:paraId="0FEADC3D" w14:textId="77777777" w:rsidR="00317EBE" w:rsidRDefault="00317EBE">
      <w:r>
        <w:continuationSeparator/>
      </w:r>
    </w:p>
  </w:endnote>
  <w:endnote w:type="continuationNotice" w:id="1">
    <w:p w14:paraId="36D70124" w14:textId="77777777" w:rsidR="00317EBE" w:rsidRDefault="00317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B59D" w14:textId="77777777" w:rsidR="00317EBE" w:rsidRDefault="00317EBE">
      <w:r>
        <w:separator/>
      </w:r>
    </w:p>
  </w:footnote>
  <w:footnote w:type="continuationSeparator" w:id="0">
    <w:p w14:paraId="0A0E00A4" w14:textId="77777777" w:rsidR="00317EBE" w:rsidRDefault="00317EBE">
      <w:r>
        <w:continuationSeparator/>
      </w:r>
    </w:p>
  </w:footnote>
  <w:footnote w:type="continuationNotice" w:id="1">
    <w:p w14:paraId="3B77F1E1" w14:textId="77777777" w:rsidR="00317EBE" w:rsidRDefault="00317E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F47"/>
    <w:multiLevelType w:val="hybridMultilevel"/>
    <w:tmpl w:val="716C96DE"/>
    <w:lvl w:ilvl="0" w:tplc="8186670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C76FC8"/>
    <w:multiLevelType w:val="hybridMultilevel"/>
    <w:tmpl w:val="D46CE856"/>
    <w:lvl w:ilvl="0" w:tplc="C3DC810E">
      <w:start w:val="1"/>
      <w:numFmt w:val="bullet"/>
      <w:lvlText w:val=""/>
      <w:lvlJc w:val="left"/>
      <w:pPr>
        <w:ind w:left="720" w:hanging="360"/>
      </w:pPr>
      <w:rPr>
        <w:rFonts w:ascii="Symbol" w:hAnsi="Symbol" w:hint="default"/>
      </w:rPr>
    </w:lvl>
    <w:lvl w:ilvl="1" w:tplc="5DD8B180">
      <w:start w:val="1"/>
      <w:numFmt w:val="bullet"/>
      <w:lvlText w:val=""/>
      <w:lvlJc w:val="left"/>
      <w:pPr>
        <w:ind w:left="1440" w:hanging="360"/>
      </w:pPr>
      <w:rPr>
        <w:rFonts w:ascii="Symbol" w:hAnsi="Symbol" w:hint="default"/>
      </w:rPr>
    </w:lvl>
    <w:lvl w:ilvl="2" w:tplc="1ECE4A9C">
      <w:start w:val="1"/>
      <w:numFmt w:val="bullet"/>
      <w:lvlText w:val=""/>
      <w:lvlJc w:val="left"/>
      <w:pPr>
        <w:ind w:left="2160" w:hanging="360"/>
      </w:pPr>
      <w:rPr>
        <w:rFonts w:ascii="Wingdings" w:hAnsi="Wingdings" w:hint="default"/>
      </w:rPr>
    </w:lvl>
    <w:lvl w:ilvl="3" w:tplc="B1000182">
      <w:start w:val="1"/>
      <w:numFmt w:val="bullet"/>
      <w:lvlText w:val=""/>
      <w:lvlJc w:val="left"/>
      <w:pPr>
        <w:ind w:left="2880" w:hanging="360"/>
      </w:pPr>
      <w:rPr>
        <w:rFonts w:ascii="Symbol" w:hAnsi="Symbol" w:hint="default"/>
      </w:rPr>
    </w:lvl>
    <w:lvl w:ilvl="4" w:tplc="2D78DBDC">
      <w:start w:val="1"/>
      <w:numFmt w:val="bullet"/>
      <w:lvlText w:val="o"/>
      <w:lvlJc w:val="left"/>
      <w:pPr>
        <w:ind w:left="3600" w:hanging="360"/>
      </w:pPr>
      <w:rPr>
        <w:rFonts w:ascii="Courier New" w:hAnsi="Courier New" w:hint="default"/>
      </w:rPr>
    </w:lvl>
    <w:lvl w:ilvl="5" w:tplc="242E5302">
      <w:start w:val="1"/>
      <w:numFmt w:val="bullet"/>
      <w:lvlText w:val=""/>
      <w:lvlJc w:val="left"/>
      <w:pPr>
        <w:ind w:left="4320" w:hanging="360"/>
      </w:pPr>
      <w:rPr>
        <w:rFonts w:ascii="Wingdings" w:hAnsi="Wingdings" w:hint="default"/>
      </w:rPr>
    </w:lvl>
    <w:lvl w:ilvl="6" w:tplc="056EBDD0">
      <w:start w:val="1"/>
      <w:numFmt w:val="bullet"/>
      <w:lvlText w:val=""/>
      <w:lvlJc w:val="left"/>
      <w:pPr>
        <w:ind w:left="5040" w:hanging="360"/>
      </w:pPr>
      <w:rPr>
        <w:rFonts w:ascii="Symbol" w:hAnsi="Symbol" w:hint="default"/>
      </w:rPr>
    </w:lvl>
    <w:lvl w:ilvl="7" w:tplc="73D8BC60">
      <w:start w:val="1"/>
      <w:numFmt w:val="bullet"/>
      <w:lvlText w:val="o"/>
      <w:lvlJc w:val="left"/>
      <w:pPr>
        <w:ind w:left="5760" w:hanging="360"/>
      </w:pPr>
      <w:rPr>
        <w:rFonts w:ascii="Courier New" w:hAnsi="Courier New" w:hint="default"/>
      </w:rPr>
    </w:lvl>
    <w:lvl w:ilvl="8" w:tplc="5DCE27B8">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59069A"/>
    <w:multiLevelType w:val="hybridMultilevel"/>
    <w:tmpl w:val="909057B6"/>
    <w:lvl w:ilvl="0" w:tplc="B47A6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27A2A27"/>
    <w:multiLevelType w:val="hybridMultilevel"/>
    <w:tmpl w:val="3BCE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8"/>
  </w:num>
  <w:num w:numId="7">
    <w:abstractNumId w:val="9"/>
  </w:num>
  <w:num w:numId="8">
    <w:abstractNumId w:val="12"/>
  </w:num>
  <w:num w:numId="9">
    <w:abstractNumId w:val="12"/>
  </w:num>
  <w:num w:numId="10">
    <w:abstractNumId w:val="12"/>
  </w:num>
  <w:num w:numId="11">
    <w:abstractNumId w:val="13"/>
  </w:num>
  <w:num w:numId="12">
    <w:abstractNumId w:val="3"/>
  </w:num>
  <w:num w:numId="13">
    <w:abstractNumId w:val="10"/>
  </w:num>
  <w:num w:numId="14">
    <w:abstractNumId w:val="11"/>
  </w:num>
  <w:num w:numId="15">
    <w:abstractNumId w:val="7"/>
  </w:num>
  <w:num w:numId="16">
    <w:abstractNumId w:val="4"/>
  </w:num>
  <w:num w:numId="17">
    <w:abstractNumId w:val="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4B4"/>
    <w:rsid w:val="0001518B"/>
    <w:rsid w:val="00016557"/>
    <w:rsid w:val="00023C40"/>
    <w:rsid w:val="000244A1"/>
    <w:rsid w:val="00025B9E"/>
    <w:rsid w:val="00026D94"/>
    <w:rsid w:val="000332EF"/>
    <w:rsid w:val="00033397"/>
    <w:rsid w:val="00036F8B"/>
    <w:rsid w:val="00040095"/>
    <w:rsid w:val="00065268"/>
    <w:rsid w:val="00073C9C"/>
    <w:rsid w:val="00076412"/>
    <w:rsid w:val="00080512"/>
    <w:rsid w:val="00090468"/>
    <w:rsid w:val="00094568"/>
    <w:rsid w:val="000A5281"/>
    <w:rsid w:val="000B7BCF"/>
    <w:rsid w:val="000C522B"/>
    <w:rsid w:val="000D58AB"/>
    <w:rsid w:val="000D7025"/>
    <w:rsid w:val="00102098"/>
    <w:rsid w:val="001074F4"/>
    <w:rsid w:val="00112653"/>
    <w:rsid w:val="00112F1A"/>
    <w:rsid w:val="00127FC0"/>
    <w:rsid w:val="001309BC"/>
    <w:rsid w:val="00145075"/>
    <w:rsid w:val="00152FEC"/>
    <w:rsid w:val="00156C6D"/>
    <w:rsid w:val="00170029"/>
    <w:rsid w:val="001741A0"/>
    <w:rsid w:val="00175FA0"/>
    <w:rsid w:val="00176570"/>
    <w:rsid w:val="00187544"/>
    <w:rsid w:val="00194CD0"/>
    <w:rsid w:val="001A7920"/>
    <w:rsid w:val="001B3924"/>
    <w:rsid w:val="001B49C9"/>
    <w:rsid w:val="001C23F4"/>
    <w:rsid w:val="001C4F79"/>
    <w:rsid w:val="001D2A61"/>
    <w:rsid w:val="001E0D00"/>
    <w:rsid w:val="001F168B"/>
    <w:rsid w:val="001F7831"/>
    <w:rsid w:val="00204045"/>
    <w:rsid w:val="0020712B"/>
    <w:rsid w:val="00217C77"/>
    <w:rsid w:val="002257C6"/>
    <w:rsid w:val="0022606D"/>
    <w:rsid w:val="00231728"/>
    <w:rsid w:val="00234604"/>
    <w:rsid w:val="00237839"/>
    <w:rsid w:val="00244A05"/>
    <w:rsid w:val="00250404"/>
    <w:rsid w:val="00251604"/>
    <w:rsid w:val="00251A78"/>
    <w:rsid w:val="00255AEA"/>
    <w:rsid w:val="00256B74"/>
    <w:rsid w:val="002610D8"/>
    <w:rsid w:val="0026239E"/>
    <w:rsid w:val="00262575"/>
    <w:rsid w:val="002636C5"/>
    <w:rsid w:val="002747EC"/>
    <w:rsid w:val="00274FCF"/>
    <w:rsid w:val="00280DC6"/>
    <w:rsid w:val="002846DE"/>
    <w:rsid w:val="002855BF"/>
    <w:rsid w:val="002A2F99"/>
    <w:rsid w:val="002A501B"/>
    <w:rsid w:val="002A5527"/>
    <w:rsid w:val="002B0106"/>
    <w:rsid w:val="002B2988"/>
    <w:rsid w:val="002E2181"/>
    <w:rsid w:val="002E21D5"/>
    <w:rsid w:val="002E38D4"/>
    <w:rsid w:val="002F0D22"/>
    <w:rsid w:val="002F411F"/>
    <w:rsid w:val="00311B17"/>
    <w:rsid w:val="003172DC"/>
    <w:rsid w:val="00317EBE"/>
    <w:rsid w:val="003221BA"/>
    <w:rsid w:val="00325AE3"/>
    <w:rsid w:val="00326069"/>
    <w:rsid w:val="00326F71"/>
    <w:rsid w:val="003276F8"/>
    <w:rsid w:val="0035462D"/>
    <w:rsid w:val="0036459E"/>
    <w:rsid w:val="00364B41"/>
    <w:rsid w:val="003723CB"/>
    <w:rsid w:val="00375AB6"/>
    <w:rsid w:val="0037746B"/>
    <w:rsid w:val="00382F26"/>
    <w:rsid w:val="00383096"/>
    <w:rsid w:val="00383C19"/>
    <w:rsid w:val="003872A3"/>
    <w:rsid w:val="0039346C"/>
    <w:rsid w:val="00395D0C"/>
    <w:rsid w:val="003A057F"/>
    <w:rsid w:val="003A41EF"/>
    <w:rsid w:val="003B40AD"/>
    <w:rsid w:val="003B6C08"/>
    <w:rsid w:val="003C017A"/>
    <w:rsid w:val="003C4E37"/>
    <w:rsid w:val="003D0FD0"/>
    <w:rsid w:val="003E0514"/>
    <w:rsid w:val="003E16BE"/>
    <w:rsid w:val="003E48F9"/>
    <w:rsid w:val="003E6868"/>
    <w:rsid w:val="003F08A6"/>
    <w:rsid w:val="003F1047"/>
    <w:rsid w:val="003F4E28"/>
    <w:rsid w:val="004006E8"/>
    <w:rsid w:val="00401855"/>
    <w:rsid w:val="00405085"/>
    <w:rsid w:val="00411425"/>
    <w:rsid w:val="00436A30"/>
    <w:rsid w:val="00440F04"/>
    <w:rsid w:val="00442623"/>
    <w:rsid w:val="00442BF5"/>
    <w:rsid w:val="00443697"/>
    <w:rsid w:val="00446C3A"/>
    <w:rsid w:val="004527C8"/>
    <w:rsid w:val="004544A2"/>
    <w:rsid w:val="00465587"/>
    <w:rsid w:val="00477455"/>
    <w:rsid w:val="004A1F7B"/>
    <w:rsid w:val="004B11B9"/>
    <w:rsid w:val="004C1C66"/>
    <w:rsid w:val="004C44D2"/>
    <w:rsid w:val="004D0C27"/>
    <w:rsid w:val="004D3578"/>
    <w:rsid w:val="004D380D"/>
    <w:rsid w:val="004D7C2D"/>
    <w:rsid w:val="004D7F32"/>
    <w:rsid w:val="004E213A"/>
    <w:rsid w:val="004F2E98"/>
    <w:rsid w:val="004F4540"/>
    <w:rsid w:val="004F73A7"/>
    <w:rsid w:val="00503171"/>
    <w:rsid w:val="00503FED"/>
    <w:rsid w:val="005064E2"/>
    <w:rsid w:val="00506C28"/>
    <w:rsid w:val="00511D92"/>
    <w:rsid w:val="00512C53"/>
    <w:rsid w:val="0052191D"/>
    <w:rsid w:val="00523CDB"/>
    <w:rsid w:val="00527922"/>
    <w:rsid w:val="00531F5C"/>
    <w:rsid w:val="005334F6"/>
    <w:rsid w:val="005337A9"/>
    <w:rsid w:val="00534DA0"/>
    <w:rsid w:val="00535F33"/>
    <w:rsid w:val="00543E6C"/>
    <w:rsid w:val="0054481B"/>
    <w:rsid w:val="00554427"/>
    <w:rsid w:val="00565087"/>
    <w:rsid w:val="0056573F"/>
    <w:rsid w:val="00571279"/>
    <w:rsid w:val="005713ED"/>
    <w:rsid w:val="00572FA8"/>
    <w:rsid w:val="0057362D"/>
    <w:rsid w:val="0057496B"/>
    <w:rsid w:val="00576E24"/>
    <w:rsid w:val="00587313"/>
    <w:rsid w:val="005905A3"/>
    <w:rsid w:val="0059673C"/>
    <w:rsid w:val="005A0AC8"/>
    <w:rsid w:val="005A13AB"/>
    <w:rsid w:val="005A49C6"/>
    <w:rsid w:val="005A4F39"/>
    <w:rsid w:val="005C5C1B"/>
    <w:rsid w:val="005C766E"/>
    <w:rsid w:val="005C7CD5"/>
    <w:rsid w:val="005D0CA6"/>
    <w:rsid w:val="005D5BE9"/>
    <w:rsid w:val="005F3681"/>
    <w:rsid w:val="005F451C"/>
    <w:rsid w:val="006001A1"/>
    <w:rsid w:val="00610D20"/>
    <w:rsid w:val="00611566"/>
    <w:rsid w:val="00626FE5"/>
    <w:rsid w:val="00630630"/>
    <w:rsid w:val="00635DB3"/>
    <w:rsid w:val="00646D99"/>
    <w:rsid w:val="006516D0"/>
    <w:rsid w:val="00653C74"/>
    <w:rsid w:val="00656910"/>
    <w:rsid w:val="006574C0"/>
    <w:rsid w:val="0066609F"/>
    <w:rsid w:val="00681297"/>
    <w:rsid w:val="00687BC6"/>
    <w:rsid w:val="00696821"/>
    <w:rsid w:val="006C3FCE"/>
    <w:rsid w:val="006C66D8"/>
    <w:rsid w:val="006C674B"/>
    <w:rsid w:val="006D1E24"/>
    <w:rsid w:val="006D35DE"/>
    <w:rsid w:val="006D3EA8"/>
    <w:rsid w:val="006E1057"/>
    <w:rsid w:val="006E1417"/>
    <w:rsid w:val="006F25D2"/>
    <w:rsid w:val="006F6A2C"/>
    <w:rsid w:val="006F72F5"/>
    <w:rsid w:val="006F7433"/>
    <w:rsid w:val="00700A33"/>
    <w:rsid w:val="007026FC"/>
    <w:rsid w:val="00703149"/>
    <w:rsid w:val="007069DC"/>
    <w:rsid w:val="0070781D"/>
    <w:rsid w:val="00710201"/>
    <w:rsid w:val="00716C77"/>
    <w:rsid w:val="0072073A"/>
    <w:rsid w:val="007207BA"/>
    <w:rsid w:val="0072452E"/>
    <w:rsid w:val="007342B5"/>
    <w:rsid w:val="00734A5B"/>
    <w:rsid w:val="00744176"/>
    <w:rsid w:val="00744E76"/>
    <w:rsid w:val="0075338D"/>
    <w:rsid w:val="007563AA"/>
    <w:rsid w:val="00757D40"/>
    <w:rsid w:val="007662B5"/>
    <w:rsid w:val="00767BE9"/>
    <w:rsid w:val="00781F0F"/>
    <w:rsid w:val="00786D11"/>
    <w:rsid w:val="0078727C"/>
    <w:rsid w:val="0079049D"/>
    <w:rsid w:val="00790EB9"/>
    <w:rsid w:val="00793DC5"/>
    <w:rsid w:val="0079549A"/>
    <w:rsid w:val="00796823"/>
    <w:rsid w:val="007A159F"/>
    <w:rsid w:val="007A2E55"/>
    <w:rsid w:val="007B18D8"/>
    <w:rsid w:val="007B2666"/>
    <w:rsid w:val="007B428F"/>
    <w:rsid w:val="007C095F"/>
    <w:rsid w:val="007C27AA"/>
    <w:rsid w:val="007C2A62"/>
    <w:rsid w:val="007C2DD0"/>
    <w:rsid w:val="007D7919"/>
    <w:rsid w:val="007E5399"/>
    <w:rsid w:val="007E5CBF"/>
    <w:rsid w:val="007F1CF0"/>
    <w:rsid w:val="007F2E08"/>
    <w:rsid w:val="007F688C"/>
    <w:rsid w:val="007F6E21"/>
    <w:rsid w:val="007F7375"/>
    <w:rsid w:val="008024FA"/>
    <w:rsid w:val="008028A4"/>
    <w:rsid w:val="00812572"/>
    <w:rsid w:val="00813245"/>
    <w:rsid w:val="00817C59"/>
    <w:rsid w:val="0082117B"/>
    <w:rsid w:val="00836EE9"/>
    <w:rsid w:val="00840DE0"/>
    <w:rsid w:val="008442F5"/>
    <w:rsid w:val="00847CD0"/>
    <w:rsid w:val="00852F6F"/>
    <w:rsid w:val="008607A8"/>
    <w:rsid w:val="0086354A"/>
    <w:rsid w:val="008768CA"/>
    <w:rsid w:val="00877EF9"/>
    <w:rsid w:val="00880559"/>
    <w:rsid w:val="008806E5"/>
    <w:rsid w:val="00893EE1"/>
    <w:rsid w:val="008A4C9A"/>
    <w:rsid w:val="008A5074"/>
    <w:rsid w:val="008A68C3"/>
    <w:rsid w:val="008B525D"/>
    <w:rsid w:val="008B5306"/>
    <w:rsid w:val="008B54E8"/>
    <w:rsid w:val="008C111C"/>
    <w:rsid w:val="008C2E2A"/>
    <w:rsid w:val="008C3057"/>
    <w:rsid w:val="008C6966"/>
    <w:rsid w:val="008C7774"/>
    <w:rsid w:val="008D0FB3"/>
    <w:rsid w:val="008D2E4D"/>
    <w:rsid w:val="008D3DE7"/>
    <w:rsid w:val="008D647F"/>
    <w:rsid w:val="008D730D"/>
    <w:rsid w:val="008E10FC"/>
    <w:rsid w:val="008E5642"/>
    <w:rsid w:val="008E6C7E"/>
    <w:rsid w:val="008F396F"/>
    <w:rsid w:val="008F3DCD"/>
    <w:rsid w:val="0090271F"/>
    <w:rsid w:val="00902DB9"/>
    <w:rsid w:val="0090466A"/>
    <w:rsid w:val="00905E5A"/>
    <w:rsid w:val="00921554"/>
    <w:rsid w:val="00923655"/>
    <w:rsid w:val="00932F06"/>
    <w:rsid w:val="009339CB"/>
    <w:rsid w:val="00936071"/>
    <w:rsid w:val="009376CD"/>
    <w:rsid w:val="00940212"/>
    <w:rsid w:val="00942EC2"/>
    <w:rsid w:val="00943FDB"/>
    <w:rsid w:val="00961B32"/>
    <w:rsid w:val="00962509"/>
    <w:rsid w:val="00970DB3"/>
    <w:rsid w:val="00974BB0"/>
    <w:rsid w:val="00975BCD"/>
    <w:rsid w:val="0097622B"/>
    <w:rsid w:val="009818A2"/>
    <w:rsid w:val="0098774E"/>
    <w:rsid w:val="009928A9"/>
    <w:rsid w:val="00993FC5"/>
    <w:rsid w:val="0099605A"/>
    <w:rsid w:val="00996A09"/>
    <w:rsid w:val="009A0AF3"/>
    <w:rsid w:val="009A453C"/>
    <w:rsid w:val="009A5283"/>
    <w:rsid w:val="009A67F4"/>
    <w:rsid w:val="009B07CD"/>
    <w:rsid w:val="009C19E9"/>
    <w:rsid w:val="009C54A4"/>
    <w:rsid w:val="009D74A6"/>
    <w:rsid w:val="009E0E87"/>
    <w:rsid w:val="009E74FD"/>
    <w:rsid w:val="009F109F"/>
    <w:rsid w:val="009F1A5E"/>
    <w:rsid w:val="00A036AC"/>
    <w:rsid w:val="00A03EE3"/>
    <w:rsid w:val="00A0759B"/>
    <w:rsid w:val="00A104E5"/>
    <w:rsid w:val="00A10F02"/>
    <w:rsid w:val="00A1178F"/>
    <w:rsid w:val="00A11AB3"/>
    <w:rsid w:val="00A17176"/>
    <w:rsid w:val="00A204CA"/>
    <w:rsid w:val="00A209D6"/>
    <w:rsid w:val="00A2149F"/>
    <w:rsid w:val="00A22738"/>
    <w:rsid w:val="00A24015"/>
    <w:rsid w:val="00A36F5F"/>
    <w:rsid w:val="00A419A4"/>
    <w:rsid w:val="00A430EC"/>
    <w:rsid w:val="00A45B98"/>
    <w:rsid w:val="00A53724"/>
    <w:rsid w:val="00A54B2B"/>
    <w:rsid w:val="00A54D1B"/>
    <w:rsid w:val="00A624EC"/>
    <w:rsid w:val="00A703B6"/>
    <w:rsid w:val="00A70951"/>
    <w:rsid w:val="00A82346"/>
    <w:rsid w:val="00A87791"/>
    <w:rsid w:val="00A901BF"/>
    <w:rsid w:val="00A9671C"/>
    <w:rsid w:val="00AA1553"/>
    <w:rsid w:val="00AB385A"/>
    <w:rsid w:val="00AC1DE7"/>
    <w:rsid w:val="00AC7476"/>
    <w:rsid w:val="00AD6947"/>
    <w:rsid w:val="00AE0A4E"/>
    <w:rsid w:val="00AE1608"/>
    <w:rsid w:val="00AE347B"/>
    <w:rsid w:val="00AE4C03"/>
    <w:rsid w:val="00AF1745"/>
    <w:rsid w:val="00B00AED"/>
    <w:rsid w:val="00B0506D"/>
    <w:rsid w:val="00B05380"/>
    <w:rsid w:val="00B05962"/>
    <w:rsid w:val="00B10F0F"/>
    <w:rsid w:val="00B111B8"/>
    <w:rsid w:val="00B12EA5"/>
    <w:rsid w:val="00B13458"/>
    <w:rsid w:val="00B15449"/>
    <w:rsid w:val="00B158F6"/>
    <w:rsid w:val="00B16C2F"/>
    <w:rsid w:val="00B24437"/>
    <w:rsid w:val="00B27303"/>
    <w:rsid w:val="00B372D1"/>
    <w:rsid w:val="00B47FD1"/>
    <w:rsid w:val="00B512C0"/>
    <w:rsid w:val="00B516BB"/>
    <w:rsid w:val="00B54976"/>
    <w:rsid w:val="00B6010C"/>
    <w:rsid w:val="00B63222"/>
    <w:rsid w:val="00B63FB0"/>
    <w:rsid w:val="00B6438C"/>
    <w:rsid w:val="00B71B4D"/>
    <w:rsid w:val="00B72327"/>
    <w:rsid w:val="00B7538C"/>
    <w:rsid w:val="00B84DB2"/>
    <w:rsid w:val="00B877AA"/>
    <w:rsid w:val="00B90373"/>
    <w:rsid w:val="00BA2852"/>
    <w:rsid w:val="00BB5340"/>
    <w:rsid w:val="00BB6179"/>
    <w:rsid w:val="00BC3555"/>
    <w:rsid w:val="00BD2464"/>
    <w:rsid w:val="00BD6C6A"/>
    <w:rsid w:val="00BE2013"/>
    <w:rsid w:val="00BF064E"/>
    <w:rsid w:val="00BF4E80"/>
    <w:rsid w:val="00BF543D"/>
    <w:rsid w:val="00BF7D15"/>
    <w:rsid w:val="00C12B51"/>
    <w:rsid w:val="00C24650"/>
    <w:rsid w:val="00C25465"/>
    <w:rsid w:val="00C33079"/>
    <w:rsid w:val="00C336D4"/>
    <w:rsid w:val="00C36747"/>
    <w:rsid w:val="00C41240"/>
    <w:rsid w:val="00C54C36"/>
    <w:rsid w:val="00C55A12"/>
    <w:rsid w:val="00C57479"/>
    <w:rsid w:val="00C6553E"/>
    <w:rsid w:val="00C83A13"/>
    <w:rsid w:val="00C86F10"/>
    <w:rsid w:val="00C87B67"/>
    <w:rsid w:val="00C9068C"/>
    <w:rsid w:val="00C92967"/>
    <w:rsid w:val="00CA3D0C"/>
    <w:rsid w:val="00CA654B"/>
    <w:rsid w:val="00CB3BC0"/>
    <w:rsid w:val="00CB72B8"/>
    <w:rsid w:val="00CC51A7"/>
    <w:rsid w:val="00CD0BA8"/>
    <w:rsid w:val="00CD4C7B"/>
    <w:rsid w:val="00CD58FE"/>
    <w:rsid w:val="00CE0813"/>
    <w:rsid w:val="00CE458F"/>
    <w:rsid w:val="00CE7144"/>
    <w:rsid w:val="00CF207A"/>
    <w:rsid w:val="00CF4B4F"/>
    <w:rsid w:val="00D112C0"/>
    <w:rsid w:val="00D278F3"/>
    <w:rsid w:val="00D314A8"/>
    <w:rsid w:val="00D32E8B"/>
    <w:rsid w:val="00D33BE3"/>
    <w:rsid w:val="00D35B8B"/>
    <w:rsid w:val="00D3792D"/>
    <w:rsid w:val="00D424D1"/>
    <w:rsid w:val="00D54820"/>
    <w:rsid w:val="00D55E47"/>
    <w:rsid w:val="00D62593"/>
    <w:rsid w:val="00D62E19"/>
    <w:rsid w:val="00D64A31"/>
    <w:rsid w:val="00D67CD1"/>
    <w:rsid w:val="00D738D6"/>
    <w:rsid w:val="00D80795"/>
    <w:rsid w:val="00D83E3C"/>
    <w:rsid w:val="00D854BE"/>
    <w:rsid w:val="00D87E00"/>
    <w:rsid w:val="00D9134D"/>
    <w:rsid w:val="00D96D11"/>
    <w:rsid w:val="00DA3D45"/>
    <w:rsid w:val="00DA4C69"/>
    <w:rsid w:val="00DA6D92"/>
    <w:rsid w:val="00DA7A03"/>
    <w:rsid w:val="00DB0DB8"/>
    <w:rsid w:val="00DB1818"/>
    <w:rsid w:val="00DB38EB"/>
    <w:rsid w:val="00DC309B"/>
    <w:rsid w:val="00DC4DA2"/>
    <w:rsid w:val="00DC5261"/>
    <w:rsid w:val="00DE25D2"/>
    <w:rsid w:val="00DF2127"/>
    <w:rsid w:val="00DF4F16"/>
    <w:rsid w:val="00DF7C20"/>
    <w:rsid w:val="00E00235"/>
    <w:rsid w:val="00E006B7"/>
    <w:rsid w:val="00E038FB"/>
    <w:rsid w:val="00E05F57"/>
    <w:rsid w:val="00E20A29"/>
    <w:rsid w:val="00E24AF3"/>
    <w:rsid w:val="00E27619"/>
    <w:rsid w:val="00E33A5F"/>
    <w:rsid w:val="00E33AE1"/>
    <w:rsid w:val="00E348AE"/>
    <w:rsid w:val="00E36D68"/>
    <w:rsid w:val="00E43E26"/>
    <w:rsid w:val="00E46C08"/>
    <w:rsid w:val="00E471CF"/>
    <w:rsid w:val="00E610B6"/>
    <w:rsid w:val="00E62835"/>
    <w:rsid w:val="00E6480E"/>
    <w:rsid w:val="00E739A3"/>
    <w:rsid w:val="00E77645"/>
    <w:rsid w:val="00E8343B"/>
    <w:rsid w:val="00E83697"/>
    <w:rsid w:val="00E859B6"/>
    <w:rsid w:val="00E953DC"/>
    <w:rsid w:val="00EA2918"/>
    <w:rsid w:val="00EA33AA"/>
    <w:rsid w:val="00EA5923"/>
    <w:rsid w:val="00EA6381"/>
    <w:rsid w:val="00EA66C9"/>
    <w:rsid w:val="00EA7E33"/>
    <w:rsid w:val="00EB5A8C"/>
    <w:rsid w:val="00EB5D32"/>
    <w:rsid w:val="00EC4A25"/>
    <w:rsid w:val="00EC5B31"/>
    <w:rsid w:val="00EC6596"/>
    <w:rsid w:val="00EC750D"/>
    <w:rsid w:val="00EE2378"/>
    <w:rsid w:val="00EE39A3"/>
    <w:rsid w:val="00EE5F6C"/>
    <w:rsid w:val="00EE7559"/>
    <w:rsid w:val="00EF413A"/>
    <w:rsid w:val="00EF612C"/>
    <w:rsid w:val="00EF672D"/>
    <w:rsid w:val="00F025A2"/>
    <w:rsid w:val="00F029D8"/>
    <w:rsid w:val="00F036E9"/>
    <w:rsid w:val="00F06D6E"/>
    <w:rsid w:val="00F07388"/>
    <w:rsid w:val="00F109E0"/>
    <w:rsid w:val="00F2026E"/>
    <w:rsid w:val="00F2210A"/>
    <w:rsid w:val="00F31372"/>
    <w:rsid w:val="00F36559"/>
    <w:rsid w:val="00F37244"/>
    <w:rsid w:val="00F37743"/>
    <w:rsid w:val="00F37E3B"/>
    <w:rsid w:val="00F45879"/>
    <w:rsid w:val="00F46E2A"/>
    <w:rsid w:val="00F54A3D"/>
    <w:rsid w:val="00F54CB0"/>
    <w:rsid w:val="00F579CD"/>
    <w:rsid w:val="00F644E2"/>
    <w:rsid w:val="00F653B8"/>
    <w:rsid w:val="00F71B89"/>
    <w:rsid w:val="00F7353C"/>
    <w:rsid w:val="00F76F8F"/>
    <w:rsid w:val="00F772E6"/>
    <w:rsid w:val="00F77C1E"/>
    <w:rsid w:val="00F87257"/>
    <w:rsid w:val="00F914BD"/>
    <w:rsid w:val="00F941DF"/>
    <w:rsid w:val="00FA1266"/>
    <w:rsid w:val="00FB1E57"/>
    <w:rsid w:val="00FB36FA"/>
    <w:rsid w:val="00FB6C3B"/>
    <w:rsid w:val="00FC1192"/>
    <w:rsid w:val="00FC456C"/>
    <w:rsid w:val="00FE0CC8"/>
    <w:rsid w:val="00FE106D"/>
    <w:rsid w:val="00FE251B"/>
    <w:rsid w:val="00FF498B"/>
    <w:rsid w:val="00FF7120"/>
    <w:rsid w:val="026E0F69"/>
    <w:rsid w:val="04C2D85A"/>
    <w:rsid w:val="05DFBC2F"/>
    <w:rsid w:val="0E44A504"/>
    <w:rsid w:val="0EFC8830"/>
    <w:rsid w:val="16ED3303"/>
    <w:rsid w:val="17EE06A0"/>
    <w:rsid w:val="188F4D39"/>
    <w:rsid w:val="1F5A7900"/>
    <w:rsid w:val="1FFA18C5"/>
    <w:rsid w:val="20783B14"/>
    <w:rsid w:val="20D48002"/>
    <w:rsid w:val="20F64961"/>
    <w:rsid w:val="23E9DCA4"/>
    <w:rsid w:val="253A701F"/>
    <w:rsid w:val="261DAD44"/>
    <w:rsid w:val="274C6288"/>
    <w:rsid w:val="2BA68A27"/>
    <w:rsid w:val="2CBCA509"/>
    <w:rsid w:val="2DBBA40C"/>
    <w:rsid w:val="2E0F96CC"/>
    <w:rsid w:val="2FAA1597"/>
    <w:rsid w:val="2FE65170"/>
    <w:rsid w:val="32E47D56"/>
    <w:rsid w:val="343132DF"/>
    <w:rsid w:val="3574AB9A"/>
    <w:rsid w:val="40615B2A"/>
    <w:rsid w:val="4209280F"/>
    <w:rsid w:val="4287C15A"/>
    <w:rsid w:val="42903C56"/>
    <w:rsid w:val="42A049F1"/>
    <w:rsid w:val="43D3C64F"/>
    <w:rsid w:val="440EA858"/>
    <w:rsid w:val="44532196"/>
    <w:rsid w:val="453A04B0"/>
    <w:rsid w:val="47961692"/>
    <w:rsid w:val="495F65B9"/>
    <w:rsid w:val="4A7DF216"/>
    <w:rsid w:val="4C49AB8D"/>
    <w:rsid w:val="51C01C68"/>
    <w:rsid w:val="53B70D3C"/>
    <w:rsid w:val="56258AAD"/>
    <w:rsid w:val="56540049"/>
    <w:rsid w:val="5A611923"/>
    <w:rsid w:val="5C6E8D45"/>
    <w:rsid w:val="5CFFA00E"/>
    <w:rsid w:val="6348C807"/>
    <w:rsid w:val="663362AD"/>
    <w:rsid w:val="673FEFB9"/>
    <w:rsid w:val="69E17BFB"/>
    <w:rsid w:val="6AD4DCC3"/>
    <w:rsid w:val="6B6AFFE0"/>
    <w:rsid w:val="6DFE7C36"/>
    <w:rsid w:val="712AAADB"/>
    <w:rsid w:val="7465129A"/>
    <w:rsid w:val="770D0F1D"/>
    <w:rsid w:val="7A07152F"/>
    <w:rsid w:val="7FBB12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610D2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10D20"/>
    <w:rPr>
      <w:rFonts w:ascii="Arial" w:eastAsia="MS Mincho" w:hAnsi="Arial"/>
      <w:i/>
      <w:noProof/>
      <w:sz w:val="18"/>
      <w:szCs w:val="24"/>
    </w:rPr>
  </w:style>
  <w:style w:type="paragraph" w:customStyle="1" w:styleId="Agreement">
    <w:name w:val="Agreement"/>
    <w:basedOn w:val="Normal"/>
    <w:next w:val="Normal"/>
    <w:uiPriority w:val="99"/>
    <w:qFormat/>
    <w:rsid w:val="00B6010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0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6D6E"/>
    <w:rPr>
      <w:rFonts w:ascii="Arial" w:eastAsia="MS Mincho" w:hAnsi="Arial"/>
      <w:szCs w:val="24"/>
    </w:rPr>
  </w:style>
  <w:style w:type="character" w:customStyle="1" w:styleId="TALCar">
    <w:name w:val="TAL Car"/>
    <w:link w:val="TAL"/>
    <w:qFormat/>
    <w:locked/>
    <w:rsid w:val="00716C77"/>
    <w:rPr>
      <w:rFonts w:ascii="Arial" w:hAnsi="Arial"/>
      <w:sz w:val="18"/>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A036AC"/>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036AC"/>
    <w:rPr>
      <w:rFonts w:ascii="Calibri" w:eastAsia="Malgun Gothic" w:hAnsi="Calibri"/>
      <w:sz w:val="22"/>
      <w:szCs w:val="22"/>
      <w:lang w:eastAsia="ko-KR"/>
    </w:rPr>
  </w:style>
  <w:style w:type="table" w:styleId="TableGrid">
    <w:name w:val="Table Grid"/>
    <w:basedOn w:val="TableNormal"/>
    <w:rsid w:val="00024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244A1"/>
  </w:style>
  <w:style w:type="character" w:customStyle="1" w:styleId="Heading1Char">
    <w:name w:val="Heading 1 Char"/>
    <w:basedOn w:val="DefaultParagraphFont"/>
    <w:link w:val="Heading1"/>
    <w:rsid w:val="00411425"/>
    <w:rPr>
      <w:rFonts w:ascii="Arial" w:hAnsi="Arial"/>
      <w:sz w:val="36"/>
      <w:lang w:eastAsia="en-US"/>
    </w:rPr>
  </w:style>
  <w:style w:type="character" w:customStyle="1" w:styleId="Heading2Char">
    <w:name w:val="Heading 2 Char"/>
    <w:basedOn w:val="DefaultParagraphFont"/>
    <w:link w:val="Heading2"/>
    <w:rsid w:val="00411425"/>
    <w:rPr>
      <w:rFonts w:ascii="Arial" w:hAnsi="Arial"/>
      <w:sz w:val="32"/>
      <w:lang w:eastAsia="en-US"/>
    </w:rPr>
  </w:style>
  <w:style w:type="paragraph" w:styleId="NormalWeb">
    <w:name w:val="Normal (Web)"/>
    <w:basedOn w:val="Normal"/>
    <w:uiPriority w:val="99"/>
    <w:unhideWhenUsed/>
    <w:rsid w:val="0057362D"/>
    <w:pPr>
      <w:spacing w:before="100" w:beforeAutospacing="1" w:after="100" w:afterAutospacing="1"/>
    </w:pPr>
    <w:rPr>
      <w:sz w:val="24"/>
      <w:szCs w:val="24"/>
      <w:lang w:val="en-US"/>
    </w:rPr>
  </w:style>
  <w:style w:type="character" w:styleId="CommentReference">
    <w:name w:val="annotation reference"/>
    <w:basedOn w:val="DefaultParagraphFont"/>
    <w:rsid w:val="002B0106"/>
    <w:rPr>
      <w:sz w:val="16"/>
      <w:szCs w:val="16"/>
    </w:rPr>
  </w:style>
  <w:style w:type="paragraph" w:styleId="CommentText">
    <w:name w:val="annotation text"/>
    <w:basedOn w:val="Normal"/>
    <w:link w:val="CommentTextChar"/>
    <w:rsid w:val="002B0106"/>
  </w:style>
  <w:style w:type="character" w:customStyle="1" w:styleId="CommentTextChar">
    <w:name w:val="Comment Text Char"/>
    <w:basedOn w:val="DefaultParagraphFont"/>
    <w:link w:val="CommentText"/>
    <w:rsid w:val="002B0106"/>
    <w:rPr>
      <w:lang w:eastAsia="en-US"/>
    </w:rPr>
  </w:style>
  <w:style w:type="paragraph" w:styleId="CommentSubject">
    <w:name w:val="annotation subject"/>
    <w:basedOn w:val="CommentText"/>
    <w:next w:val="CommentText"/>
    <w:link w:val="CommentSubjectChar"/>
    <w:rsid w:val="002B0106"/>
    <w:rPr>
      <w:b/>
      <w:bCs/>
    </w:rPr>
  </w:style>
  <w:style w:type="character" w:customStyle="1" w:styleId="CommentSubjectChar">
    <w:name w:val="Comment Subject Char"/>
    <w:basedOn w:val="CommentTextChar"/>
    <w:link w:val="CommentSubject"/>
    <w:rsid w:val="002B0106"/>
    <w:rPr>
      <w:b/>
      <w:bCs/>
      <w:lang w:eastAsia="en-US"/>
    </w:rPr>
  </w:style>
  <w:style w:type="character" w:styleId="Mention">
    <w:name w:val="Mention"/>
    <w:basedOn w:val="DefaultParagraphFont"/>
    <w:uiPriority w:val="99"/>
    <w:unhideWhenUsed/>
    <w:rsid w:val="002B0106"/>
    <w:rPr>
      <w:color w:val="2B579A"/>
      <w:shd w:val="clear" w:color="auto" w:fill="E1DFDD"/>
    </w:rPr>
  </w:style>
  <w:style w:type="paragraph" w:styleId="Revision">
    <w:name w:val="Revision"/>
    <w:hidden/>
    <w:uiPriority w:val="99"/>
    <w:semiHidden/>
    <w:rsid w:val="00A075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579023">
      <w:bodyDiv w:val="1"/>
      <w:marLeft w:val="0"/>
      <w:marRight w:val="0"/>
      <w:marTop w:val="0"/>
      <w:marBottom w:val="0"/>
      <w:divBdr>
        <w:top w:val="none" w:sz="0" w:space="0" w:color="auto"/>
        <w:left w:val="none" w:sz="0" w:space="0" w:color="auto"/>
        <w:bottom w:val="none" w:sz="0" w:space="0" w:color="auto"/>
        <w:right w:val="none" w:sz="0" w:space="0" w:color="auto"/>
      </w:divBdr>
    </w:div>
    <w:div w:id="11428849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1067355">
      <w:bodyDiv w:val="1"/>
      <w:marLeft w:val="0"/>
      <w:marRight w:val="0"/>
      <w:marTop w:val="0"/>
      <w:marBottom w:val="0"/>
      <w:divBdr>
        <w:top w:val="none" w:sz="0" w:space="0" w:color="auto"/>
        <w:left w:val="none" w:sz="0" w:space="0" w:color="auto"/>
        <w:bottom w:val="none" w:sz="0" w:space="0" w:color="auto"/>
        <w:right w:val="none" w:sz="0" w:space="0" w:color="auto"/>
      </w:divBdr>
    </w:div>
    <w:div w:id="20911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21/Docs/R2-230231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10135</CharactersWithSpaces>
  <SharedDoc>false</SharedDoc>
  <HyperlinkBase/>
  <HLinks>
    <vt:vector size="24" baseType="variant">
      <vt:variant>
        <vt:i4>8060997</vt:i4>
      </vt:variant>
      <vt:variant>
        <vt:i4>0</vt:i4>
      </vt:variant>
      <vt:variant>
        <vt:i4>0</vt:i4>
      </vt:variant>
      <vt:variant>
        <vt:i4>5</vt:i4>
      </vt:variant>
      <vt:variant>
        <vt:lpwstr>https://www.3gpp.org/ftp/TSG_RAN/WG2_RL2/TSGR2_121/Docs/R2-2302310.zip</vt:lpwstr>
      </vt:variant>
      <vt:variant>
        <vt:lpwstr/>
      </vt:variant>
      <vt:variant>
        <vt:i4>5636149</vt:i4>
      </vt:variant>
      <vt:variant>
        <vt:i4>6</vt:i4>
      </vt:variant>
      <vt:variant>
        <vt:i4>0</vt:i4>
      </vt:variant>
      <vt:variant>
        <vt:i4>5</vt:i4>
      </vt:variant>
      <vt:variant>
        <vt:lpwstr>mailto:tero.henttonen@nokia.com</vt:lpwstr>
      </vt:variant>
      <vt:variant>
        <vt:lpwstr/>
      </vt:variant>
      <vt:variant>
        <vt:i4>7798857</vt:i4>
      </vt:variant>
      <vt:variant>
        <vt:i4>3</vt:i4>
      </vt:variant>
      <vt:variant>
        <vt:i4>0</vt:i4>
      </vt:variant>
      <vt:variant>
        <vt:i4>5</vt:i4>
      </vt:variant>
      <vt:variant>
        <vt:lpwstr>mailto:ping.1.yuan@nokia-sbell.com</vt:lpwstr>
      </vt:variant>
      <vt:variant>
        <vt:lpwstr/>
      </vt:variant>
      <vt:variant>
        <vt:i4>7798807</vt:i4>
      </vt:variant>
      <vt:variant>
        <vt:i4>0</vt:i4>
      </vt:variant>
      <vt:variant>
        <vt:i4>0</vt:i4>
      </vt:variant>
      <vt:variant>
        <vt:i4>5</vt:i4>
      </vt:variant>
      <vt:variant>
        <vt:lpwstr>mailto:hakon.helmers@nokia.com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2023-05-12T09:08:00Z</dcterms:created>
  <dcterms:modified xsi:type="dcterms:W3CDTF">2023-05-12T09:31:00Z</dcterms:modified>
  <cp:category/>
</cp:coreProperties>
</file>